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588" w:rsidRDefault="004C3588" w:rsidP="004C3588">
      <w:pPr>
        <w:pStyle w:val="Nadpis3"/>
        <w:spacing w:before="73"/>
        <w:ind w:left="0"/>
        <w:jc w:val="both"/>
        <w:rPr>
          <w:sz w:val="24"/>
          <w:szCs w:val="24"/>
          <w:lang w:val="sk-SK"/>
        </w:rPr>
      </w:pPr>
    </w:p>
    <w:p w:rsidR="004C3588" w:rsidRPr="006F655A" w:rsidRDefault="005702A9" w:rsidP="004C3588">
      <w:pPr>
        <w:pStyle w:val="Zkladntext"/>
        <w:rPr>
          <w:b/>
          <w:sz w:val="24"/>
          <w:lang w:val="sk-SK"/>
        </w:rPr>
      </w:pPr>
      <w:r w:rsidRPr="005702A9">
        <w:rPr>
          <w:b/>
          <w:bCs/>
          <w:sz w:val="24"/>
          <w:szCs w:val="24"/>
          <w:lang w:val="sk-SK"/>
        </w:rPr>
        <w:t>METODICKÉ VYSVETLIVKY</w:t>
      </w:r>
    </w:p>
    <w:p w:rsidR="004C3588" w:rsidRPr="006F655A" w:rsidRDefault="004C3588" w:rsidP="004C3588">
      <w:pPr>
        <w:pStyle w:val="Zkladntext"/>
        <w:spacing w:before="10"/>
        <w:rPr>
          <w:b/>
          <w:sz w:val="21"/>
          <w:lang w:val="sk-SK"/>
        </w:rPr>
      </w:pPr>
    </w:p>
    <w:p w:rsidR="004C3588" w:rsidRPr="006F655A" w:rsidRDefault="004C3588" w:rsidP="004C3588">
      <w:pPr>
        <w:pStyle w:val="Zkladntext"/>
        <w:ind w:left="438" w:right="994" w:firstLine="555"/>
        <w:jc w:val="both"/>
        <w:rPr>
          <w:lang w:val="sk-SK"/>
        </w:rPr>
      </w:pPr>
      <w:r w:rsidRPr="006F655A">
        <w:rPr>
          <w:lang w:val="sk-SK"/>
        </w:rPr>
        <w:t>Publikácia obsahuje výsledky klasifikácie subjektov poľnohospodárskej prvovýroby, reprezentované štandardnou produkciou (Standard Output – SO).</w:t>
      </w:r>
    </w:p>
    <w:p w:rsidR="004C3588" w:rsidRPr="006F655A" w:rsidRDefault="004C3588" w:rsidP="004C3588">
      <w:pPr>
        <w:pStyle w:val="Zkladntext"/>
        <w:ind w:left="426" w:right="993" w:firstLine="576"/>
        <w:jc w:val="both"/>
        <w:rPr>
          <w:lang w:val="sk-SK"/>
        </w:rPr>
      </w:pPr>
      <w:r w:rsidRPr="006F655A">
        <w:rPr>
          <w:lang w:val="sk-SK"/>
        </w:rPr>
        <w:t>Klasifikácia je založená na súbore ekonomických koeficientov štandardnej produkcie, vypočítaných na úrovni SR a na informáciách (plocha plodín a počet kusov hospodárskych zvierat), zozbieraných v</w:t>
      </w:r>
      <w:r>
        <w:rPr>
          <w:lang w:val="sk-SK"/>
        </w:rPr>
        <w:t> Integrovanom zisťovaní fariem 2020</w:t>
      </w:r>
      <w:r w:rsidRPr="006F655A">
        <w:rPr>
          <w:lang w:val="sk-SK"/>
        </w:rPr>
        <w:t xml:space="preserve"> (</w:t>
      </w:r>
      <w:r>
        <w:rPr>
          <w:lang w:val="sk-SK"/>
        </w:rPr>
        <w:t>Integrated Farm Statistics</w:t>
      </w:r>
      <w:r w:rsidRPr="006F655A">
        <w:rPr>
          <w:lang w:val="sk-SK"/>
        </w:rPr>
        <w:t xml:space="preserve"> </w:t>
      </w:r>
      <w:r>
        <w:rPr>
          <w:lang w:val="sk-SK"/>
        </w:rPr>
        <w:t>–</w:t>
      </w:r>
      <w:r w:rsidRPr="006F655A">
        <w:rPr>
          <w:lang w:val="sk-SK"/>
        </w:rPr>
        <w:t xml:space="preserve"> </w:t>
      </w:r>
      <w:r>
        <w:rPr>
          <w:lang w:val="sk-SK"/>
        </w:rPr>
        <w:t>IFS</w:t>
      </w:r>
      <w:r w:rsidR="00971094">
        <w:rPr>
          <w:lang w:val="sk-SK"/>
        </w:rPr>
        <w:t> </w:t>
      </w:r>
      <w:r>
        <w:rPr>
          <w:lang w:val="sk-SK"/>
        </w:rPr>
        <w:t>2020</w:t>
      </w:r>
      <w:r w:rsidRPr="006F655A">
        <w:rPr>
          <w:lang w:val="sk-SK"/>
        </w:rPr>
        <w:t xml:space="preserve">) v súlade s nariadením (EÚ) </w:t>
      </w:r>
      <w:r>
        <w:rPr>
          <w:lang w:val="sk-SK"/>
        </w:rPr>
        <w:t>20</w:t>
      </w:r>
      <w:r w:rsidRPr="006F655A">
        <w:rPr>
          <w:lang w:val="sk-SK"/>
        </w:rPr>
        <w:t>18/1091.</w:t>
      </w:r>
    </w:p>
    <w:p w:rsidR="004C3588" w:rsidRPr="006F655A" w:rsidRDefault="004C3588" w:rsidP="004C3588">
      <w:pPr>
        <w:pStyle w:val="Zkladntext"/>
        <w:ind w:left="438" w:right="994" w:firstLine="709"/>
        <w:jc w:val="both"/>
        <w:rPr>
          <w:lang w:val="sk-SK"/>
        </w:rPr>
      </w:pPr>
      <w:r w:rsidRPr="006F655A">
        <w:rPr>
          <w:lang w:val="sk-SK"/>
        </w:rPr>
        <w:t>Klasifikácia fariem vychádza z typu hospodárenia a ekonomickej veľkosti, stanovenej na základe SO rôznych druhov poľnohospodárskej výroby. Štandardná produkcia vychádza  z priemerných hodnôt za obdobie piatich rokov. Súčet všetkých SO na hektár plodín a na kus hospodárskych zvierat je miera celkovej ekonomickej veľkosti farmy vyjadrená v</w:t>
      </w:r>
      <w:r w:rsidRPr="006F655A">
        <w:rPr>
          <w:spacing w:val="-8"/>
          <w:lang w:val="sk-SK"/>
        </w:rPr>
        <w:t xml:space="preserve"> </w:t>
      </w:r>
      <w:r w:rsidRPr="006F655A">
        <w:rPr>
          <w:lang w:val="sk-SK"/>
        </w:rPr>
        <w:t>eurách.</w:t>
      </w:r>
    </w:p>
    <w:p w:rsidR="004C3588" w:rsidRPr="006F655A" w:rsidRDefault="004C3588" w:rsidP="004C3588">
      <w:pPr>
        <w:pStyle w:val="Zkladntext"/>
        <w:spacing w:before="59"/>
        <w:ind w:left="439" w:right="992" w:firstLine="708"/>
        <w:jc w:val="both"/>
        <w:rPr>
          <w:lang w:val="sk-SK"/>
        </w:rPr>
      </w:pPr>
      <w:r w:rsidRPr="006F655A">
        <w:rPr>
          <w:lang w:val="sk-SK"/>
        </w:rPr>
        <w:t>Štandardná produkcia sa používa pre typológiu EÚ na určenie ekonomickej veľkosti fariem, ich zaradenie do typu výrobného zamerania, zistenie rôznych štruktúr fariem, posúdenie výkonnosti, produktivity práce a na iné analýzy. Väčšou alebo menšou mierou agregácie môžu byť na základe typológie zostavené homogénne skupiny podnikov.</w:t>
      </w:r>
    </w:p>
    <w:p w:rsidR="004C3588" w:rsidRPr="006F655A" w:rsidRDefault="004C3588" w:rsidP="004C3588">
      <w:pPr>
        <w:pStyle w:val="Zkladntext"/>
        <w:spacing w:before="60"/>
        <w:ind w:left="439" w:right="991" w:firstLine="708"/>
        <w:jc w:val="both"/>
        <w:rPr>
          <w:lang w:val="sk-SK"/>
        </w:rPr>
      </w:pPr>
      <w:r w:rsidRPr="006F655A">
        <w:rPr>
          <w:lang w:val="sk-SK"/>
        </w:rPr>
        <w:t>Výrobné zameranie farmy sa určuje podľa podielu jednotlivých typov poľnohospodárskej produkcie na celkovej štandardnej produkcii (Total SO).</w:t>
      </w:r>
    </w:p>
    <w:p w:rsidR="004C3588" w:rsidRPr="006F655A" w:rsidRDefault="004C3588" w:rsidP="004C3588">
      <w:pPr>
        <w:pStyle w:val="Zkladntext"/>
        <w:spacing w:before="60"/>
        <w:ind w:left="439" w:right="993" w:firstLine="708"/>
        <w:jc w:val="both"/>
        <w:rPr>
          <w:lang w:val="sk-SK"/>
        </w:rPr>
      </w:pPr>
      <w:r w:rsidRPr="00DE4FCC">
        <w:rPr>
          <w:lang w:val="sk-SK"/>
        </w:rPr>
        <w:t>Dáta   v publikácii   sú   triedené   podľa   regiónov   pre   porovnateľnosť   s dátami    z predchádzajúcich</w:t>
      </w:r>
      <w:r w:rsidRPr="00DE4FCC">
        <w:rPr>
          <w:spacing w:val="-2"/>
          <w:lang w:val="sk-SK"/>
        </w:rPr>
        <w:t xml:space="preserve"> </w:t>
      </w:r>
      <w:r w:rsidRPr="00DE4FCC">
        <w:rPr>
          <w:lang w:val="sk-SK"/>
        </w:rPr>
        <w:t>zisťovaní.</w:t>
      </w:r>
    </w:p>
    <w:p w:rsidR="004C3588" w:rsidRDefault="004C3588" w:rsidP="004C3588">
      <w:pPr>
        <w:pStyle w:val="Zkladntext"/>
        <w:rPr>
          <w:sz w:val="24"/>
        </w:rPr>
      </w:pPr>
    </w:p>
    <w:p w:rsidR="004C3588" w:rsidRPr="006F655A" w:rsidRDefault="004C3588" w:rsidP="004C3588">
      <w:pPr>
        <w:pStyle w:val="Nadpis3"/>
        <w:spacing w:before="163" w:after="2"/>
        <w:jc w:val="both"/>
        <w:rPr>
          <w:lang w:val="de-AT"/>
        </w:rPr>
      </w:pPr>
      <w:r w:rsidRPr="006F655A">
        <w:rPr>
          <w:lang w:val="de-AT"/>
        </w:rPr>
        <w:t>Charakteristika tried ekonomickej veľkosti podľa metodiky EÚ</w:t>
      </w:r>
    </w:p>
    <w:tbl>
      <w:tblPr>
        <w:tblStyle w:val="TableNormal"/>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8"/>
        <w:gridCol w:w="4536"/>
      </w:tblGrid>
      <w:tr w:rsidR="004C3588" w:rsidTr="00C7112B">
        <w:trPr>
          <w:trHeight w:val="252"/>
        </w:trPr>
        <w:tc>
          <w:tcPr>
            <w:tcW w:w="3188" w:type="dxa"/>
          </w:tcPr>
          <w:p w:rsidR="004C3588" w:rsidRDefault="004C3588" w:rsidP="00C7112B">
            <w:pPr>
              <w:pStyle w:val="TableParagraph"/>
              <w:ind w:left="69"/>
              <w:rPr>
                <w:b/>
              </w:rPr>
            </w:pPr>
            <w:r>
              <w:rPr>
                <w:b/>
              </w:rPr>
              <w:t>Triedy ekonomickej veľkosti</w:t>
            </w:r>
          </w:p>
        </w:tc>
        <w:tc>
          <w:tcPr>
            <w:tcW w:w="4536" w:type="dxa"/>
          </w:tcPr>
          <w:p w:rsidR="004C3588" w:rsidRDefault="004C3588" w:rsidP="00C7112B">
            <w:pPr>
              <w:pStyle w:val="TableParagraph"/>
              <w:ind w:left="69"/>
              <w:rPr>
                <w:b/>
              </w:rPr>
            </w:pPr>
            <w:r>
              <w:rPr>
                <w:b/>
              </w:rPr>
              <w:t>Hranice v Eur</w:t>
            </w:r>
          </w:p>
        </w:tc>
      </w:tr>
      <w:tr w:rsidR="004C3588" w:rsidTr="00C7112B">
        <w:trPr>
          <w:trHeight w:val="252"/>
        </w:trPr>
        <w:tc>
          <w:tcPr>
            <w:tcW w:w="3188" w:type="dxa"/>
          </w:tcPr>
          <w:p w:rsidR="004C3588" w:rsidRDefault="004C3588" w:rsidP="00C7112B">
            <w:pPr>
              <w:pStyle w:val="TableParagraph"/>
              <w:ind w:left="249"/>
            </w:pPr>
            <w:r>
              <w:rPr>
                <w:w w:val="99"/>
              </w:rPr>
              <w:t>1</w:t>
            </w:r>
          </w:p>
        </w:tc>
        <w:tc>
          <w:tcPr>
            <w:tcW w:w="4536" w:type="dxa"/>
          </w:tcPr>
          <w:p w:rsidR="004C3588" w:rsidRDefault="004C3588" w:rsidP="00C7112B">
            <w:pPr>
              <w:pStyle w:val="TableParagraph"/>
              <w:ind w:left="69"/>
            </w:pPr>
            <w:r>
              <w:t>menej než 2 000 EUR</w:t>
            </w:r>
          </w:p>
        </w:tc>
      </w:tr>
      <w:tr w:rsidR="004C3588" w:rsidTr="00C7112B">
        <w:trPr>
          <w:trHeight w:val="252"/>
        </w:trPr>
        <w:tc>
          <w:tcPr>
            <w:tcW w:w="3188" w:type="dxa"/>
          </w:tcPr>
          <w:p w:rsidR="004C3588" w:rsidRDefault="004C3588" w:rsidP="00C7112B">
            <w:pPr>
              <w:pStyle w:val="TableParagraph"/>
              <w:ind w:left="249"/>
            </w:pPr>
            <w:r>
              <w:rPr>
                <w:w w:val="99"/>
              </w:rPr>
              <w:t>2</w:t>
            </w:r>
          </w:p>
        </w:tc>
        <w:tc>
          <w:tcPr>
            <w:tcW w:w="4536" w:type="dxa"/>
          </w:tcPr>
          <w:p w:rsidR="004C3588" w:rsidRDefault="004C3588" w:rsidP="00C7112B">
            <w:pPr>
              <w:pStyle w:val="TableParagraph"/>
              <w:ind w:left="69"/>
            </w:pPr>
            <w:r>
              <w:t>od 2 000 do menej než 4 000 EUR</w:t>
            </w:r>
          </w:p>
        </w:tc>
      </w:tr>
      <w:tr w:rsidR="004C3588" w:rsidTr="00C7112B">
        <w:trPr>
          <w:trHeight w:val="252"/>
        </w:trPr>
        <w:tc>
          <w:tcPr>
            <w:tcW w:w="3188" w:type="dxa"/>
          </w:tcPr>
          <w:p w:rsidR="004C3588" w:rsidRDefault="004C3588" w:rsidP="00C7112B">
            <w:pPr>
              <w:pStyle w:val="TableParagraph"/>
              <w:ind w:left="249"/>
            </w:pPr>
            <w:r>
              <w:rPr>
                <w:w w:val="99"/>
              </w:rPr>
              <w:t>3</w:t>
            </w:r>
          </w:p>
        </w:tc>
        <w:tc>
          <w:tcPr>
            <w:tcW w:w="4536" w:type="dxa"/>
          </w:tcPr>
          <w:p w:rsidR="004C3588" w:rsidRDefault="004C3588" w:rsidP="00C7112B">
            <w:pPr>
              <w:pStyle w:val="TableParagraph"/>
              <w:ind w:left="69"/>
            </w:pPr>
            <w:r>
              <w:t>od 4 000 do menej než 8 000 EUR</w:t>
            </w:r>
          </w:p>
        </w:tc>
      </w:tr>
      <w:tr w:rsidR="004C3588" w:rsidTr="00C7112B">
        <w:trPr>
          <w:trHeight w:val="252"/>
        </w:trPr>
        <w:tc>
          <w:tcPr>
            <w:tcW w:w="3188" w:type="dxa"/>
          </w:tcPr>
          <w:p w:rsidR="004C3588" w:rsidRDefault="004C3588" w:rsidP="00C7112B">
            <w:pPr>
              <w:pStyle w:val="TableParagraph"/>
              <w:ind w:left="249"/>
            </w:pPr>
            <w:r>
              <w:rPr>
                <w:w w:val="99"/>
              </w:rPr>
              <w:t>4</w:t>
            </w:r>
          </w:p>
        </w:tc>
        <w:tc>
          <w:tcPr>
            <w:tcW w:w="4536" w:type="dxa"/>
          </w:tcPr>
          <w:p w:rsidR="004C3588" w:rsidRDefault="004C3588" w:rsidP="00C7112B">
            <w:pPr>
              <w:pStyle w:val="TableParagraph"/>
              <w:ind w:left="69"/>
            </w:pPr>
            <w:r>
              <w:t>od 8 000 do menej než 15 000 EUR</w:t>
            </w:r>
          </w:p>
        </w:tc>
      </w:tr>
      <w:tr w:rsidR="004C3588" w:rsidTr="00C7112B">
        <w:trPr>
          <w:trHeight w:val="252"/>
        </w:trPr>
        <w:tc>
          <w:tcPr>
            <w:tcW w:w="3188" w:type="dxa"/>
          </w:tcPr>
          <w:p w:rsidR="004C3588" w:rsidRDefault="004C3588" w:rsidP="00C7112B">
            <w:pPr>
              <w:pStyle w:val="TableParagraph"/>
              <w:ind w:left="249"/>
            </w:pPr>
            <w:r>
              <w:rPr>
                <w:w w:val="99"/>
              </w:rPr>
              <w:t>5</w:t>
            </w:r>
          </w:p>
        </w:tc>
        <w:tc>
          <w:tcPr>
            <w:tcW w:w="4536" w:type="dxa"/>
          </w:tcPr>
          <w:p w:rsidR="004C3588" w:rsidRDefault="004C3588" w:rsidP="00C7112B">
            <w:pPr>
              <w:pStyle w:val="TableParagraph"/>
              <w:ind w:left="69"/>
            </w:pPr>
            <w:r>
              <w:t>od 15 000 do menej než 25 000 EUR</w:t>
            </w:r>
          </w:p>
        </w:tc>
      </w:tr>
      <w:tr w:rsidR="004C3588" w:rsidTr="00C7112B">
        <w:trPr>
          <w:trHeight w:val="253"/>
        </w:trPr>
        <w:tc>
          <w:tcPr>
            <w:tcW w:w="3188" w:type="dxa"/>
          </w:tcPr>
          <w:p w:rsidR="004C3588" w:rsidRDefault="004C3588" w:rsidP="00C7112B">
            <w:pPr>
              <w:pStyle w:val="TableParagraph"/>
              <w:spacing w:line="234" w:lineRule="exact"/>
              <w:ind w:left="249"/>
            </w:pPr>
            <w:r>
              <w:rPr>
                <w:w w:val="99"/>
              </w:rPr>
              <w:t>6</w:t>
            </w:r>
          </w:p>
        </w:tc>
        <w:tc>
          <w:tcPr>
            <w:tcW w:w="4536" w:type="dxa"/>
          </w:tcPr>
          <w:p w:rsidR="004C3588" w:rsidRDefault="004C3588" w:rsidP="00C7112B">
            <w:pPr>
              <w:pStyle w:val="TableParagraph"/>
              <w:spacing w:line="234" w:lineRule="exact"/>
              <w:ind w:left="69"/>
            </w:pPr>
            <w:r>
              <w:t>od 25 000 do menej než 50 000 EUR</w:t>
            </w:r>
          </w:p>
        </w:tc>
      </w:tr>
      <w:tr w:rsidR="004C3588" w:rsidTr="00C7112B">
        <w:trPr>
          <w:trHeight w:val="252"/>
        </w:trPr>
        <w:tc>
          <w:tcPr>
            <w:tcW w:w="3188" w:type="dxa"/>
          </w:tcPr>
          <w:p w:rsidR="004C3588" w:rsidRDefault="004C3588" w:rsidP="00C7112B">
            <w:pPr>
              <w:pStyle w:val="TableParagraph"/>
              <w:ind w:left="249"/>
            </w:pPr>
            <w:r>
              <w:rPr>
                <w:w w:val="99"/>
              </w:rPr>
              <w:t>7</w:t>
            </w:r>
          </w:p>
        </w:tc>
        <w:tc>
          <w:tcPr>
            <w:tcW w:w="4536" w:type="dxa"/>
          </w:tcPr>
          <w:p w:rsidR="004C3588" w:rsidRDefault="004C3588" w:rsidP="00C7112B">
            <w:pPr>
              <w:pStyle w:val="TableParagraph"/>
              <w:ind w:left="69"/>
            </w:pPr>
            <w:r>
              <w:t>od 50 000 do menej než 100 000 EUR</w:t>
            </w:r>
          </w:p>
        </w:tc>
      </w:tr>
      <w:tr w:rsidR="004C3588" w:rsidTr="00C7112B">
        <w:trPr>
          <w:trHeight w:val="252"/>
        </w:trPr>
        <w:tc>
          <w:tcPr>
            <w:tcW w:w="3188" w:type="dxa"/>
          </w:tcPr>
          <w:p w:rsidR="004C3588" w:rsidRDefault="004C3588" w:rsidP="00C7112B">
            <w:pPr>
              <w:pStyle w:val="TableParagraph"/>
              <w:ind w:left="249"/>
            </w:pPr>
            <w:r>
              <w:rPr>
                <w:w w:val="99"/>
              </w:rPr>
              <w:t>8</w:t>
            </w:r>
          </w:p>
        </w:tc>
        <w:tc>
          <w:tcPr>
            <w:tcW w:w="4536" w:type="dxa"/>
          </w:tcPr>
          <w:p w:rsidR="004C3588" w:rsidRDefault="004C3588" w:rsidP="00C7112B">
            <w:pPr>
              <w:pStyle w:val="TableParagraph"/>
              <w:ind w:left="69"/>
            </w:pPr>
            <w:r>
              <w:t>od 100 000 do menej než 250 000 EUR</w:t>
            </w:r>
          </w:p>
        </w:tc>
      </w:tr>
      <w:tr w:rsidR="004C3588" w:rsidTr="00C7112B">
        <w:trPr>
          <w:trHeight w:val="252"/>
        </w:trPr>
        <w:tc>
          <w:tcPr>
            <w:tcW w:w="3188" w:type="dxa"/>
          </w:tcPr>
          <w:p w:rsidR="004C3588" w:rsidRDefault="004C3588" w:rsidP="00C7112B">
            <w:pPr>
              <w:pStyle w:val="TableParagraph"/>
              <w:ind w:left="249"/>
            </w:pPr>
            <w:r>
              <w:rPr>
                <w:w w:val="99"/>
              </w:rPr>
              <w:t>9</w:t>
            </w:r>
          </w:p>
        </w:tc>
        <w:tc>
          <w:tcPr>
            <w:tcW w:w="4536" w:type="dxa"/>
          </w:tcPr>
          <w:p w:rsidR="004C3588" w:rsidRDefault="004C3588" w:rsidP="00C7112B">
            <w:pPr>
              <w:pStyle w:val="TableParagraph"/>
              <w:ind w:left="69"/>
            </w:pPr>
            <w:r>
              <w:t>od 250 000 do menej než 500 000 EUR</w:t>
            </w:r>
          </w:p>
        </w:tc>
      </w:tr>
      <w:tr w:rsidR="004C3588" w:rsidTr="00C7112B">
        <w:trPr>
          <w:trHeight w:val="252"/>
        </w:trPr>
        <w:tc>
          <w:tcPr>
            <w:tcW w:w="3188" w:type="dxa"/>
          </w:tcPr>
          <w:p w:rsidR="004C3588" w:rsidRDefault="004C3588" w:rsidP="00C7112B">
            <w:pPr>
              <w:pStyle w:val="TableParagraph"/>
              <w:ind w:left="127"/>
            </w:pPr>
            <w:r>
              <w:t>10</w:t>
            </w:r>
          </w:p>
        </w:tc>
        <w:tc>
          <w:tcPr>
            <w:tcW w:w="4536" w:type="dxa"/>
          </w:tcPr>
          <w:p w:rsidR="004C3588" w:rsidRDefault="004C3588" w:rsidP="00C7112B">
            <w:pPr>
              <w:pStyle w:val="TableParagraph"/>
              <w:ind w:left="69"/>
            </w:pPr>
            <w:r>
              <w:t>od 500 000 do menej než 750 000 EUR</w:t>
            </w:r>
          </w:p>
        </w:tc>
      </w:tr>
      <w:tr w:rsidR="004C3588" w:rsidTr="00C7112B">
        <w:trPr>
          <w:trHeight w:val="252"/>
        </w:trPr>
        <w:tc>
          <w:tcPr>
            <w:tcW w:w="3188" w:type="dxa"/>
          </w:tcPr>
          <w:p w:rsidR="004C3588" w:rsidRDefault="004C3588" w:rsidP="00C7112B">
            <w:pPr>
              <w:pStyle w:val="TableParagraph"/>
              <w:ind w:left="127"/>
            </w:pPr>
            <w:r>
              <w:t>11</w:t>
            </w:r>
          </w:p>
        </w:tc>
        <w:tc>
          <w:tcPr>
            <w:tcW w:w="4536" w:type="dxa"/>
          </w:tcPr>
          <w:p w:rsidR="004C3588" w:rsidRDefault="004C3588" w:rsidP="00C7112B">
            <w:pPr>
              <w:pStyle w:val="TableParagraph"/>
              <w:ind w:left="69"/>
            </w:pPr>
            <w:r>
              <w:t>od 750 000 do menej než 1 000 000 EUR</w:t>
            </w:r>
          </w:p>
        </w:tc>
      </w:tr>
      <w:tr w:rsidR="004C3588" w:rsidTr="00C7112B">
        <w:trPr>
          <w:trHeight w:val="252"/>
        </w:trPr>
        <w:tc>
          <w:tcPr>
            <w:tcW w:w="3188" w:type="dxa"/>
          </w:tcPr>
          <w:p w:rsidR="004C3588" w:rsidRDefault="004C3588" w:rsidP="00C7112B">
            <w:pPr>
              <w:pStyle w:val="TableParagraph"/>
              <w:ind w:left="127"/>
            </w:pPr>
            <w:r>
              <w:t>12</w:t>
            </w:r>
          </w:p>
        </w:tc>
        <w:tc>
          <w:tcPr>
            <w:tcW w:w="4536" w:type="dxa"/>
          </w:tcPr>
          <w:p w:rsidR="004C3588" w:rsidRDefault="004C3588" w:rsidP="00C7112B">
            <w:pPr>
              <w:pStyle w:val="TableParagraph"/>
              <w:ind w:left="69"/>
            </w:pPr>
            <w:r>
              <w:t>od 1 000 000 do menej než 1 500 000 EUR</w:t>
            </w:r>
          </w:p>
        </w:tc>
      </w:tr>
      <w:tr w:rsidR="004C3588" w:rsidTr="00C7112B">
        <w:trPr>
          <w:trHeight w:val="253"/>
        </w:trPr>
        <w:tc>
          <w:tcPr>
            <w:tcW w:w="3188" w:type="dxa"/>
          </w:tcPr>
          <w:p w:rsidR="004C3588" w:rsidRDefault="004C3588" w:rsidP="00C7112B">
            <w:pPr>
              <w:pStyle w:val="TableParagraph"/>
              <w:spacing w:line="234" w:lineRule="exact"/>
              <w:ind w:left="127"/>
            </w:pPr>
            <w:r>
              <w:t>13</w:t>
            </w:r>
          </w:p>
        </w:tc>
        <w:tc>
          <w:tcPr>
            <w:tcW w:w="4536" w:type="dxa"/>
          </w:tcPr>
          <w:p w:rsidR="004C3588" w:rsidRDefault="004C3588" w:rsidP="00C7112B">
            <w:pPr>
              <w:pStyle w:val="TableParagraph"/>
              <w:spacing w:line="234" w:lineRule="exact"/>
              <w:ind w:left="69"/>
            </w:pPr>
            <w:r>
              <w:t>od 1 500 000 do menej než 3 000 000 EUR</w:t>
            </w:r>
          </w:p>
        </w:tc>
      </w:tr>
      <w:tr w:rsidR="004C3588" w:rsidTr="00C7112B">
        <w:trPr>
          <w:trHeight w:val="252"/>
        </w:trPr>
        <w:tc>
          <w:tcPr>
            <w:tcW w:w="3188" w:type="dxa"/>
          </w:tcPr>
          <w:p w:rsidR="004C3588" w:rsidRDefault="004C3588" w:rsidP="00C7112B">
            <w:pPr>
              <w:pStyle w:val="TableParagraph"/>
              <w:ind w:left="127"/>
            </w:pPr>
            <w:r>
              <w:t>14</w:t>
            </w:r>
          </w:p>
        </w:tc>
        <w:tc>
          <w:tcPr>
            <w:tcW w:w="4536" w:type="dxa"/>
          </w:tcPr>
          <w:p w:rsidR="004C3588" w:rsidRDefault="004C3588" w:rsidP="00C7112B">
            <w:pPr>
              <w:pStyle w:val="TableParagraph"/>
              <w:ind w:left="69"/>
            </w:pPr>
            <w:r>
              <w:t>3 000 000 alebo viac EUR</w:t>
            </w:r>
          </w:p>
        </w:tc>
      </w:tr>
    </w:tbl>
    <w:p w:rsidR="004C3588" w:rsidRDefault="004C3588"/>
    <w:p w:rsidR="004C3588" w:rsidRDefault="004C3588" w:rsidP="004C3588">
      <w:pPr>
        <w:pStyle w:val="Zkladntext"/>
        <w:ind w:left="438"/>
        <w:jc w:val="both"/>
      </w:pPr>
    </w:p>
    <w:p w:rsidR="004C3588" w:rsidRDefault="004C3588" w:rsidP="004C3588">
      <w:pPr>
        <w:pStyle w:val="Zkladntext"/>
        <w:ind w:left="438"/>
        <w:jc w:val="both"/>
      </w:pPr>
    </w:p>
    <w:p w:rsidR="004C3588" w:rsidRDefault="004C3588" w:rsidP="004C3588">
      <w:pPr>
        <w:pStyle w:val="Zkladntext"/>
        <w:ind w:left="438"/>
        <w:jc w:val="both"/>
      </w:pPr>
    </w:p>
    <w:p w:rsidR="004C3588" w:rsidRDefault="004C3588" w:rsidP="004C3588">
      <w:pPr>
        <w:pStyle w:val="Zkladntext"/>
        <w:ind w:left="438"/>
        <w:jc w:val="both"/>
      </w:pPr>
      <w:r>
        <w:t>Vysvetlenie symbolov:</w:t>
      </w:r>
    </w:p>
    <w:p w:rsidR="004C3588" w:rsidRDefault="004C3588" w:rsidP="004C3588">
      <w:pPr>
        <w:pStyle w:val="Zkladntext"/>
        <w:spacing w:before="184"/>
        <w:ind w:left="438"/>
        <w:jc w:val="both"/>
      </w:pPr>
      <w:r>
        <w:t>ležatá čiarka (-) –</w:t>
      </w:r>
      <w:r w:rsidR="0081283C">
        <w:t xml:space="preserve"> </w:t>
      </w:r>
      <w:r>
        <w:t>jav nevyskytova</w:t>
      </w:r>
      <w:r w:rsidR="00EC0273">
        <w:t>l</w:t>
      </w:r>
      <w:r w:rsidR="002E5DF1">
        <w:t>,</w:t>
      </w:r>
    </w:p>
    <w:p w:rsidR="003054E9" w:rsidRDefault="003054E9" w:rsidP="004C3588">
      <w:pPr>
        <w:pStyle w:val="Zkladntext"/>
        <w:spacing w:before="184"/>
        <w:ind w:left="438"/>
        <w:jc w:val="both"/>
      </w:pPr>
      <w:r>
        <w:t>nula (0, 0,0) – údaj väčší ako nula, ale menší ako najmenšia jednotka vyjadriteľná v tabuľke</w:t>
      </w:r>
      <w:r w:rsidR="002E5DF1">
        <w:t>.</w:t>
      </w:r>
    </w:p>
    <w:p w:rsidR="003054E9" w:rsidRDefault="003054E9" w:rsidP="004C3588">
      <w:pPr>
        <w:pStyle w:val="Zkladntext"/>
        <w:spacing w:before="184"/>
        <w:ind w:left="438"/>
        <w:jc w:val="both"/>
      </w:pPr>
    </w:p>
    <w:p w:rsidR="003054E9" w:rsidRDefault="003054E9" w:rsidP="004C3588">
      <w:pPr>
        <w:pStyle w:val="Zkladntext"/>
        <w:spacing w:before="184"/>
        <w:ind w:left="438"/>
        <w:jc w:val="both"/>
        <w:sectPr w:rsidR="003054E9">
          <w:pgSz w:w="11910" w:h="16840"/>
          <w:pgMar w:top="1060" w:right="420" w:bottom="1260" w:left="980" w:header="0" w:footer="1063" w:gutter="0"/>
          <w:cols w:space="708"/>
        </w:sectPr>
      </w:pPr>
    </w:p>
    <w:p w:rsidR="004C3588" w:rsidRDefault="005702A9" w:rsidP="004C3588">
      <w:pPr>
        <w:pStyle w:val="Zkladntext"/>
        <w:spacing w:before="10"/>
        <w:rPr>
          <w:b/>
          <w:sz w:val="24"/>
        </w:rPr>
      </w:pPr>
      <w:r w:rsidRPr="005702A9">
        <w:rPr>
          <w:b/>
          <w:sz w:val="24"/>
        </w:rPr>
        <w:lastRenderedPageBreak/>
        <w:t>EXPLANATORY NOTES</w:t>
      </w:r>
    </w:p>
    <w:p w:rsidR="005702A9" w:rsidRDefault="005702A9" w:rsidP="004C3588">
      <w:pPr>
        <w:pStyle w:val="Zkladntext"/>
        <w:spacing w:before="10"/>
        <w:rPr>
          <w:b/>
          <w:sz w:val="23"/>
        </w:rPr>
      </w:pPr>
    </w:p>
    <w:p w:rsidR="004C3588" w:rsidRDefault="004C3588" w:rsidP="004C3588">
      <w:pPr>
        <w:pStyle w:val="Zkladntext"/>
        <w:ind w:right="710" w:firstLine="567"/>
        <w:jc w:val="both"/>
      </w:pPr>
      <w:r>
        <w:t xml:space="preserve">Publication contains the results of classifications of the farming subjects producing primary agricultural production, presented by the Standard Output (SO). </w:t>
      </w:r>
    </w:p>
    <w:p w:rsidR="004C3588" w:rsidRDefault="004C3588" w:rsidP="004C3588">
      <w:pPr>
        <w:pStyle w:val="Zkladntext"/>
        <w:ind w:right="709" w:firstLine="567"/>
        <w:jc w:val="both"/>
      </w:pPr>
      <w:r>
        <w:t>The classification is based on the set of economic coefficients of standard output, calculated at the SR level and on the information (crop area and number of livestock) collected in the Integrated Farm Statistics 2020 (IFS 2020) in accordance with Regulation (EU) 2018/1091.</w:t>
      </w:r>
    </w:p>
    <w:p w:rsidR="004C3588" w:rsidRDefault="004C3588" w:rsidP="004C3588">
      <w:pPr>
        <w:pStyle w:val="Zkladntext"/>
        <w:spacing w:before="59"/>
        <w:ind w:right="711" w:firstLine="413"/>
        <w:jc w:val="both"/>
      </w:pPr>
      <w:r>
        <w:t>The classification of the farms is based on their type of farming and economic size, determined on the basis of the SO of the various types of agricultural production. Standard output is based on average values over a period of five years. The sum of all SO per hectare of crop and per head of livestock in a farm is a measure of its overall economic size, expressed in</w:t>
      </w:r>
      <w:r>
        <w:rPr>
          <w:spacing w:val="-14"/>
        </w:rPr>
        <w:t xml:space="preserve"> </w:t>
      </w:r>
      <w:r>
        <w:t>euro.</w:t>
      </w:r>
    </w:p>
    <w:p w:rsidR="004C3588" w:rsidRDefault="004C3588" w:rsidP="004C3588">
      <w:pPr>
        <w:pStyle w:val="Zkladntext"/>
        <w:spacing w:before="61"/>
        <w:ind w:left="154" w:right="710" w:firstLine="709"/>
        <w:jc w:val="both"/>
      </w:pPr>
      <w:r>
        <w:t>Standard output is used for the EU typology to determine the economic size of farms, their inclusion to the type of farming, finding different structure of farms, assessment of efficiency, working productivity and other analyses. Based on typology, homogeneous groups of holdings can be assembled in a greater or lesser degree of aggregation.</w:t>
      </w:r>
    </w:p>
    <w:p w:rsidR="004C3588" w:rsidRDefault="004C3588" w:rsidP="004C3588">
      <w:pPr>
        <w:pStyle w:val="Zkladntext"/>
        <w:spacing w:before="75"/>
        <w:ind w:left="154" w:right="710" w:firstLine="708"/>
        <w:jc w:val="both"/>
      </w:pPr>
      <w:r>
        <w:t>Production orientation of farm is determined by ratio of the individual types of agricultural production on the total standard output (Total SO).</w:t>
      </w:r>
    </w:p>
    <w:p w:rsidR="004C3588" w:rsidRDefault="004C3588" w:rsidP="004C3588">
      <w:pPr>
        <w:pStyle w:val="Zkladntext"/>
        <w:spacing w:before="95"/>
        <w:ind w:left="154" w:right="708" w:firstLine="708"/>
        <w:jc w:val="both"/>
      </w:pPr>
      <w:r w:rsidRPr="00DE4FCC">
        <w:t>The data in the publication is classified by regions in order to compare it with the data from the previous surveys.</w:t>
      </w:r>
    </w:p>
    <w:p w:rsidR="004C3588" w:rsidRDefault="004C3588" w:rsidP="004C3588">
      <w:pPr>
        <w:pStyle w:val="Zkladntext"/>
        <w:ind w:left="101"/>
        <w:rPr>
          <w:sz w:val="20"/>
        </w:rPr>
      </w:pPr>
    </w:p>
    <w:p w:rsidR="004C3588" w:rsidRDefault="004C3588" w:rsidP="004C3588">
      <w:pPr>
        <w:pStyle w:val="Nadpis3"/>
        <w:spacing w:before="138"/>
        <w:ind w:left="154"/>
      </w:pPr>
      <w:r>
        <w:t>Characteristics o</w:t>
      </w:r>
      <w:r w:rsidR="00BB7DD6">
        <w:t>f classes of economic size by EU</w:t>
      </w:r>
      <w:r>
        <w:t xml:space="preserve"> methodology</w:t>
      </w:r>
    </w:p>
    <w:tbl>
      <w:tblPr>
        <w:tblStyle w:val="TableNormal"/>
        <w:tblW w:w="0" w:type="auto"/>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0"/>
        <w:gridCol w:w="4536"/>
      </w:tblGrid>
      <w:tr w:rsidR="004C3588" w:rsidTr="00C7112B">
        <w:trPr>
          <w:trHeight w:val="252"/>
        </w:trPr>
        <w:tc>
          <w:tcPr>
            <w:tcW w:w="3190" w:type="dxa"/>
          </w:tcPr>
          <w:p w:rsidR="004C3588" w:rsidRDefault="004C3588" w:rsidP="00C7112B">
            <w:pPr>
              <w:pStyle w:val="TableParagraph"/>
              <w:ind w:left="69"/>
              <w:rPr>
                <w:b/>
              </w:rPr>
            </w:pPr>
            <w:r>
              <w:rPr>
                <w:b/>
              </w:rPr>
              <w:t>Classes of economic size</w:t>
            </w:r>
          </w:p>
        </w:tc>
        <w:tc>
          <w:tcPr>
            <w:tcW w:w="4536" w:type="dxa"/>
          </w:tcPr>
          <w:p w:rsidR="004C3588" w:rsidRDefault="004C3588" w:rsidP="00C7112B">
            <w:pPr>
              <w:pStyle w:val="TableParagraph"/>
              <w:ind w:left="68"/>
              <w:rPr>
                <w:b/>
              </w:rPr>
            </w:pPr>
            <w:r>
              <w:rPr>
                <w:b/>
              </w:rPr>
              <w:t>Margins in EUR</w:t>
            </w:r>
          </w:p>
        </w:tc>
      </w:tr>
      <w:tr w:rsidR="004C3588" w:rsidTr="00C7112B">
        <w:trPr>
          <w:trHeight w:val="253"/>
        </w:trPr>
        <w:tc>
          <w:tcPr>
            <w:tcW w:w="3190" w:type="dxa"/>
          </w:tcPr>
          <w:p w:rsidR="004C3588" w:rsidRDefault="004C3588" w:rsidP="00C7112B">
            <w:pPr>
              <w:pStyle w:val="TableParagraph"/>
              <w:spacing w:line="234" w:lineRule="exact"/>
              <w:ind w:left="191"/>
            </w:pPr>
            <w:r>
              <w:rPr>
                <w:w w:val="99"/>
              </w:rPr>
              <w:t>1</w:t>
            </w:r>
          </w:p>
        </w:tc>
        <w:tc>
          <w:tcPr>
            <w:tcW w:w="4536" w:type="dxa"/>
          </w:tcPr>
          <w:p w:rsidR="004C3588" w:rsidRDefault="004C3588" w:rsidP="00C7112B">
            <w:pPr>
              <w:pStyle w:val="TableParagraph"/>
              <w:spacing w:line="234" w:lineRule="exact"/>
              <w:ind w:left="69"/>
            </w:pPr>
            <w:r>
              <w:t>less than 2 000 EUR</w:t>
            </w:r>
          </w:p>
        </w:tc>
      </w:tr>
      <w:tr w:rsidR="004C3588" w:rsidTr="00C7112B">
        <w:trPr>
          <w:trHeight w:val="252"/>
        </w:trPr>
        <w:tc>
          <w:tcPr>
            <w:tcW w:w="3190" w:type="dxa"/>
          </w:tcPr>
          <w:p w:rsidR="004C3588" w:rsidRDefault="004C3588" w:rsidP="00C7112B">
            <w:pPr>
              <w:pStyle w:val="TableParagraph"/>
              <w:ind w:left="191"/>
            </w:pPr>
            <w:r>
              <w:rPr>
                <w:w w:val="99"/>
              </w:rPr>
              <w:t>2</w:t>
            </w:r>
          </w:p>
        </w:tc>
        <w:tc>
          <w:tcPr>
            <w:tcW w:w="4536" w:type="dxa"/>
          </w:tcPr>
          <w:p w:rsidR="004C3588" w:rsidRDefault="004C3588" w:rsidP="00C7112B">
            <w:pPr>
              <w:pStyle w:val="TableParagraph"/>
              <w:ind w:left="69"/>
            </w:pPr>
            <w:r>
              <w:t>from 2 000 to less than 4 000 EUR</w:t>
            </w:r>
          </w:p>
        </w:tc>
      </w:tr>
      <w:tr w:rsidR="004C3588" w:rsidTr="00C7112B">
        <w:trPr>
          <w:trHeight w:val="252"/>
        </w:trPr>
        <w:tc>
          <w:tcPr>
            <w:tcW w:w="3190" w:type="dxa"/>
          </w:tcPr>
          <w:p w:rsidR="004C3588" w:rsidRDefault="004C3588" w:rsidP="00C7112B">
            <w:pPr>
              <w:pStyle w:val="TableParagraph"/>
              <w:ind w:left="191"/>
            </w:pPr>
            <w:r>
              <w:rPr>
                <w:w w:val="99"/>
              </w:rPr>
              <w:t>3</w:t>
            </w:r>
          </w:p>
        </w:tc>
        <w:tc>
          <w:tcPr>
            <w:tcW w:w="4536" w:type="dxa"/>
          </w:tcPr>
          <w:p w:rsidR="004C3588" w:rsidRDefault="004C3588" w:rsidP="00C7112B">
            <w:pPr>
              <w:pStyle w:val="TableParagraph"/>
              <w:ind w:left="69"/>
            </w:pPr>
            <w:r>
              <w:t>from 4 000 to less than 8 000 EUR</w:t>
            </w:r>
          </w:p>
        </w:tc>
      </w:tr>
      <w:tr w:rsidR="004C3588" w:rsidTr="00C7112B">
        <w:trPr>
          <w:trHeight w:val="252"/>
        </w:trPr>
        <w:tc>
          <w:tcPr>
            <w:tcW w:w="3190" w:type="dxa"/>
          </w:tcPr>
          <w:p w:rsidR="004C3588" w:rsidRDefault="004C3588" w:rsidP="00C7112B">
            <w:pPr>
              <w:pStyle w:val="TableParagraph"/>
              <w:ind w:left="191"/>
            </w:pPr>
            <w:r>
              <w:rPr>
                <w:w w:val="99"/>
              </w:rPr>
              <w:t>4</w:t>
            </w:r>
          </w:p>
        </w:tc>
        <w:tc>
          <w:tcPr>
            <w:tcW w:w="4536" w:type="dxa"/>
          </w:tcPr>
          <w:p w:rsidR="004C3588" w:rsidRDefault="004C3588" w:rsidP="00C7112B">
            <w:pPr>
              <w:pStyle w:val="TableParagraph"/>
              <w:ind w:left="69"/>
            </w:pPr>
            <w:r>
              <w:t>from 8 000 to less than 15 000 EUR</w:t>
            </w:r>
          </w:p>
        </w:tc>
      </w:tr>
      <w:tr w:rsidR="004C3588" w:rsidTr="00C7112B">
        <w:trPr>
          <w:trHeight w:val="252"/>
        </w:trPr>
        <w:tc>
          <w:tcPr>
            <w:tcW w:w="3190" w:type="dxa"/>
          </w:tcPr>
          <w:p w:rsidR="004C3588" w:rsidRDefault="004C3588" w:rsidP="00C7112B">
            <w:pPr>
              <w:pStyle w:val="TableParagraph"/>
              <w:ind w:left="191"/>
            </w:pPr>
            <w:r>
              <w:rPr>
                <w:w w:val="99"/>
              </w:rPr>
              <w:t>5</w:t>
            </w:r>
          </w:p>
        </w:tc>
        <w:tc>
          <w:tcPr>
            <w:tcW w:w="4536" w:type="dxa"/>
          </w:tcPr>
          <w:p w:rsidR="004C3588" w:rsidRDefault="004C3588" w:rsidP="00C7112B">
            <w:pPr>
              <w:pStyle w:val="TableParagraph"/>
              <w:ind w:left="69"/>
            </w:pPr>
            <w:r>
              <w:t>from 15 000 to less than 25 000 EUR</w:t>
            </w:r>
          </w:p>
        </w:tc>
      </w:tr>
      <w:tr w:rsidR="004C3588" w:rsidTr="00C7112B">
        <w:trPr>
          <w:trHeight w:val="252"/>
        </w:trPr>
        <w:tc>
          <w:tcPr>
            <w:tcW w:w="3190" w:type="dxa"/>
          </w:tcPr>
          <w:p w:rsidR="004C3588" w:rsidRDefault="004C3588" w:rsidP="00C7112B">
            <w:pPr>
              <w:pStyle w:val="TableParagraph"/>
              <w:ind w:left="191"/>
            </w:pPr>
            <w:r>
              <w:rPr>
                <w:w w:val="99"/>
              </w:rPr>
              <w:t>6</w:t>
            </w:r>
          </w:p>
        </w:tc>
        <w:tc>
          <w:tcPr>
            <w:tcW w:w="4536" w:type="dxa"/>
          </w:tcPr>
          <w:p w:rsidR="004C3588" w:rsidRDefault="004C3588" w:rsidP="00C7112B">
            <w:pPr>
              <w:pStyle w:val="TableParagraph"/>
              <w:ind w:left="69"/>
            </w:pPr>
            <w:r>
              <w:t>from 25 000 to less than 50 000 EUR</w:t>
            </w:r>
          </w:p>
        </w:tc>
      </w:tr>
      <w:tr w:rsidR="004C3588" w:rsidTr="00C7112B">
        <w:trPr>
          <w:trHeight w:val="254"/>
        </w:trPr>
        <w:tc>
          <w:tcPr>
            <w:tcW w:w="3190" w:type="dxa"/>
          </w:tcPr>
          <w:p w:rsidR="004C3588" w:rsidRDefault="004C3588" w:rsidP="00C7112B">
            <w:pPr>
              <w:pStyle w:val="TableParagraph"/>
              <w:spacing w:line="234" w:lineRule="exact"/>
              <w:ind w:left="191"/>
            </w:pPr>
            <w:r>
              <w:rPr>
                <w:w w:val="99"/>
              </w:rPr>
              <w:t>7</w:t>
            </w:r>
          </w:p>
        </w:tc>
        <w:tc>
          <w:tcPr>
            <w:tcW w:w="4536" w:type="dxa"/>
          </w:tcPr>
          <w:p w:rsidR="004C3588" w:rsidRDefault="004C3588" w:rsidP="00C7112B">
            <w:pPr>
              <w:pStyle w:val="TableParagraph"/>
              <w:spacing w:line="234" w:lineRule="exact"/>
              <w:ind w:left="69"/>
            </w:pPr>
            <w:r>
              <w:t>from 50 000 to less than 100 000 EUR</w:t>
            </w:r>
          </w:p>
        </w:tc>
      </w:tr>
      <w:tr w:rsidR="004C3588" w:rsidTr="00C7112B">
        <w:trPr>
          <w:trHeight w:val="252"/>
        </w:trPr>
        <w:tc>
          <w:tcPr>
            <w:tcW w:w="3190" w:type="dxa"/>
          </w:tcPr>
          <w:p w:rsidR="004C3588" w:rsidRDefault="004C3588" w:rsidP="00C7112B">
            <w:pPr>
              <w:pStyle w:val="TableParagraph"/>
              <w:ind w:left="191"/>
            </w:pPr>
            <w:r>
              <w:rPr>
                <w:w w:val="99"/>
              </w:rPr>
              <w:t>8</w:t>
            </w:r>
          </w:p>
        </w:tc>
        <w:tc>
          <w:tcPr>
            <w:tcW w:w="4536" w:type="dxa"/>
          </w:tcPr>
          <w:p w:rsidR="004C3588" w:rsidRDefault="004C3588" w:rsidP="00C7112B">
            <w:pPr>
              <w:pStyle w:val="TableParagraph"/>
              <w:ind w:left="69"/>
            </w:pPr>
            <w:r>
              <w:t>from 100 000 to less than 250 000 EUR</w:t>
            </w:r>
          </w:p>
        </w:tc>
      </w:tr>
      <w:tr w:rsidR="004C3588" w:rsidTr="00C7112B">
        <w:trPr>
          <w:trHeight w:val="252"/>
        </w:trPr>
        <w:tc>
          <w:tcPr>
            <w:tcW w:w="3190" w:type="dxa"/>
          </w:tcPr>
          <w:p w:rsidR="004C3588" w:rsidRDefault="004C3588" w:rsidP="00C7112B">
            <w:pPr>
              <w:pStyle w:val="TableParagraph"/>
              <w:ind w:left="191"/>
            </w:pPr>
            <w:r>
              <w:rPr>
                <w:w w:val="99"/>
              </w:rPr>
              <w:t>9</w:t>
            </w:r>
          </w:p>
        </w:tc>
        <w:tc>
          <w:tcPr>
            <w:tcW w:w="4536" w:type="dxa"/>
          </w:tcPr>
          <w:p w:rsidR="004C3588" w:rsidRDefault="004C3588" w:rsidP="00C7112B">
            <w:pPr>
              <w:pStyle w:val="TableParagraph"/>
              <w:ind w:left="69"/>
            </w:pPr>
            <w:r>
              <w:t>from 250 000 to less than 500 000 EUR</w:t>
            </w:r>
          </w:p>
        </w:tc>
      </w:tr>
      <w:tr w:rsidR="004C3588" w:rsidTr="00C7112B">
        <w:trPr>
          <w:trHeight w:val="252"/>
        </w:trPr>
        <w:tc>
          <w:tcPr>
            <w:tcW w:w="3190" w:type="dxa"/>
          </w:tcPr>
          <w:p w:rsidR="004C3588" w:rsidRDefault="004C3588" w:rsidP="00C7112B">
            <w:pPr>
              <w:pStyle w:val="TableParagraph"/>
              <w:ind w:left="69"/>
            </w:pPr>
            <w:r>
              <w:t>10</w:t>
            </w:r>
          </w:p>
        </w:tc>
        <w:tc>
          <w:tcPr>
            <w:tcW w:w="4536" w:type="dxa"/>
          </w:tcPr>
          <w:p w:rsidR="004C3588" w:rsidRDefault="004C3588" w:rsidP="00C7112B">
            <w:pPr>
              <w:pStyle w:val="TableParagraph"/>
              <w:ind w:left="68"/>
            </w:pPr>
            <w:r>
              <w:t>from 500 000 to less than 750 000 EUR</w:t>
            </w:r>
          </w:p>
        </w:tc>
      </w:tr>
      <w:tr w:rsidR="004C3588" w:rsidTr="00C7112B">
        <w:trPr>
          <w:trHeight w:val="252"/>
        </w:trPr>
        <w:tc>
          <w:tcPr>
            <w:tcW w:w="3190" w:type="dxa"/>
          </w:tcPr>
          <w:p w:rsidR="004C3588" w:rsidRDefault="004C3588" w:rsidP="00C7112B">
            <w:pPr>
              <w:pStyle w:val="TableParagraph"/>
              <w:ind w:left="69"/>
            </w:pPr>
            <w:r>
              <w:t>11</w:t>
            </w:r>
          </w:p>
        </w:tc>
        <w:tc>
          <w:tcPr>
            <w:tcW w:w="4536" w:type="dxa"/>
          </w:tcPr>
          <w:p w:rsidR="004C3588" w:rsidRDefault="004C3588" w:rsidP="00C7112B">
            <w:pPr>
              <w:pStyle w:val="TableParagraph"/>
              <w:ind w:left="68"/>
            </w:pPr>
            <w:r>
              <w:t>from 750 000 to less than 1 000 000 EUR</w:t>
            </w:r>
          </w:p>
        </w:tc>
      </w:tr>
      <w:tr w:rsidR="004C3588" w:rsidTr="00C7112B">
        <w:trPr>
          <w:trHeight w:val="252"/>
        </w:trPr>
        <w:tc>
          <w:tcPr>
            <w:tcW w:w="3190" w:type="dxa"/>
          </w:tcPr>
          <w:p w:rsidR="004C3588" w:rsidRDefault="004C3588" w:rsidP="00C7112B">
            <w:pPr>
              <w:pStyle w:val="TableParagraph"/>
              <w:ind w:left="69"/>
            </w:pPr>
            <w:r>
              <w:t>12</w:t>
            </w:r>
          </w:p>
        </w:tc>
        <w:tc>
          <w:tcPr>
            <w:tcW w:w="4536" w:type="dxa"/>
          </w:tcPr>
          <w:p w:rsidR="004C3588" w:rsidRDefault="004C3588" w:rsidP="00C7112B">
            <w:pPr>
              <w:pStyle w:val="TableParagraph"/>
              <w:ind w:left="68"/>
            </w:pPr>
            <w:r>
              <w:t>from 1 000 000 to less than 1 500 000 EUR</w:t>
            </w:r>
          </w:p>
        </w:tc>
      </w:tr>
      <w:tr w:rsidR="004C3588" w:rsidTr="00C7112B">
        <w:trPr>
          <w:trHeight w:val="252"/>
        </w:trPr>
        <w:tc>
          <w:tcPr>
            <w:tcW w:w="3190" w:type="dxa"/>
          </w:tcPr>
          <w:p w:rsidR="004C3588" w:rsidRDefault="004C3588" w:rsidP="00C7112B">
            <w:pPr>
              <w:pStyle w:val="TableParagraph"/>
              <w:ind w:left="69"/>
            </w:pPr>
            <w:r>
              <w:t>13</w:t>
            </w:r>
          </w:p>
        </w:tc>
        <w:tc>
          <w:tcPr>
            <w:tcW w:w="4536" w:type="dxa"/>
          </w:tcPr>
          <w:p w:rsidR="004C3588" w:rsidRDefault="004C3588" w:rsidP="00C7112B">
            <w:pPr>
              <w:pStyle w:val="TableParagraph"/>
              <w:ind w:left="68"/>
            </w:pPr>
            <w:r>
              <w:t>from 1 500 000 to less than 3 000 000 EUR</w:t>
            </w:r>
          </w:p>
        </w:tc>
      </w:tr>
      <w:tr w:rsidR="004C3588" w:rsidTr="00C7112B">
        <w:trPr>
          <w:trHeight w:val="253"/>
        </w:trPr>
        <w:tc>
          <w:tcPr>
            <w:tcW w:w="3190" w:type="dxa"/>
          </w:tcPr>
          <w:p w:rsidR="004C3588" w:rsidRDefault="004C3588" w:rsidP="00C7112B">
            <w:pPr>
              <w:pStyle w:val="TableParagraph"/>
              <w:spacing w:line="234" w:lineRule="exact"/>
              <w:ind w:left="69"/>
            </w:pPr>
            <w:r>
              <w:t>14</w:t>
            </w:r>
          </w:p>
        </w:tc>
        <w:tc>
          <w:tcPr>
            <w:tcW w:w="4536" w:type="dxa"/>
          </w:tcPr>
          <w:p w:rsidR="004C3588" w:rsidRDefault="004C3588" w:rsidP="00C7112B">
            <w:pPr>
              <w:pStyle w:val="TableParagraph"/>
              <w:spacing w:line="234" w:lineRule="exact"/>
              <w:ind w:left="69"/>
            </w:pPr>
            <w:r>
              <w:t>3 000 000 or more EUR</w:t>
            </w:r>
          </w:p>
        </w:tc>
      </w:tr>
    </w:tbl>
    <w:p w:rsidR="004C3588" w:rsidRDefault="004C3588" w:rsidP="004C3588">
      <w:pPr>
        <w:pStyle w:val="Zkladntext"/>
        <w:rPr>
          <w:b/>
          <w:sz w:val="24"/>
        </w:rPr>
      </w:pPr>
    </w:p>
    <w:p w:rsidR="004C3588" w:rsidRDefault="004C3588" w:rsidP="004C3588">
      <w:pPr>
        <w:pStyle w:val="Zkladntext"/>
        <w:ind w:left="154"/>
        <w:rPr>
          <w:b/>
          <w:sz w:val="24"/>
        </w:rPr>
      </w:pPr>
    </w:p>
    <w:p w:rsidR="004C3588" w:rsidRDefault="004C3588" w:rsidP="004C3588">
      <w:pPr>
        <w:pStyle w:val="Zkladntext"/>
        <w:ind w:left="154"/>
        <w:rPr>
          <w:b/>
          <w:sz w:val="24"/>
        </w:rPr>
      </w:pPr>
    </w:p>
    <w:p w:rsidR="004C3588" w:rsidRDefault="004C3588" w:rsidP="004C3588">
      <w:pPr>
        <w:pStyle w:val="Zkladntext"/>
        <w:ind w:left="154"/>
      </w:pPr>
      <w:r>
        <w:t>Statistical symbols:</w:t>
      </w:r>
    </w:p>
    <w:p w:rsidR="004C3588" w:rsidRDefault="004C3588" w:rsidP="004C3588">
      <w:pPr>
        <w:pStyle w:val="Zkladntext"/>
      </w:pPr>
    </w:p>
    <w:p w:rsidR="004C3588" w:rsidRDefault="004C3588" w:rsidP="004C3588">
      <w:pPr>
        <w:pStyle w:val="Zkladntext"/>
        <w:tabs>
          <w:tab w:val="left" w:pos="1784"/>
        </w:tabs>
        <w:ind w:left="154"/>
      </w:pPr>
      <w:bookmarkStart w:id="0" w:name="_GoBack"/>
      <w:r>
        <w:t>Macron</w:t>
      </w:r>
      <w:r>
        <w:rPr>
          <w:spacing w:val="-1"/>
        </w:rPr>
        <w:t xml:space="preserve"> </w:t>
      </w:r>
      <w:r w:rsidR="005702A9">
        <w:t xml:space="preserve">(-) </w:t>
      </w:r>
      <w:r>
        <w:t>–</w:t>
      </w:r>
      <w:r w:rsidR="002E5DF1">
        <w:t xml:space="preserve"> </w:t>
      </w:r>
      <w:r>
        <w:t>phenomenon did not</w:t>
      </w:r>
      <w:r>
        <w:rPr>
          <w:spacing w:val="-4"/>
        </w:rPr>
        <w:t xml:space="preserve"> </w:t>
      </w:r>
      <w:r>
        <w:t>occur</w:t>
      </w:r>
      <w:r w:rsidR="002E5DF1">
        <w:t>,</w:t>
      </w:r>
      <w:r w:rsidR="002976DC">
        <w:br/>
      </w:r>
    </w:p>
    <w:p w:rsidR="004206D8" w:rsidRDefault="004206D8" w:rsidP="004C3588">
      <w:pPr>
        <w:pStyle w:val="Zkladntext"/>
        <w:tabs>
          <w:tab w:val="left" w:pos="1784"/>
        </w:tabs>
        <w:ind w:left="154"/>
      </w:pPr>
      <w:r>
        <w:t xml:space="preserve">Zero </w:t>
      </w:r>
      <w:r>
        <w:t>(0, 0,0) –</w:t>
      </w:r>
      <w:r>
        <w:t xml:space="preserve"> data is more than zero but less than the least unit expressible in the table</w:t>
      </w:r>
      <w:r w:rsidR="002E5DF1">
        <w:t>.</w:t>
      </w:r>
    </w:p>
    <w:bookmarkEnd w:id="0"/>
    <w:p w:rsidR="004206D8" w:rsidRDefault="004206D8" w:rsidP="004C3588">
      <w:pPr>
        <w:pStyle w:val="Zkladntext"/>
        <w:tabs>
          <w:tab w:val="left" w:pos="1784"/>
        </w:tabs>
        <w:ind w:left="154"/>
      </w:pPr>
    </w:p>
    <w:p w:rsidR="00BB4EA2" w:rsidRDefault="00BB4EA2" w:rsidP="004C3588">
      <w:pPr>
        <w:widowControl/>
        <w:autoSpaceDE/>
        <w:autoSpaceDN/>
        <w:spacing w:after="160" w:line="259" w:lineRule="auto"/>
      </w:pPr>
    </w:p>
    <w:sectPr w:rsidR="00BB4E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8CC" w:rsidRDefault="00A908CC" w:rsidP="004C3588">
      <w:r>
        <w:separator/>
      </w:r>
    </w:p>
  </w:endnote>
  <w:endnote w:type="continuationSeparator" w:id="0">
    <w:p w:rsidR="00A908CC" w:rsidRDefault="00A908CC" w:rsidP="004C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8CC" w:rsidRDefault="00A908CC" w:rsidP="004C3588">
      <w:r>
        <w:separator/>
      </w:r>
    </w:p>
  </w:footnote>
  <w:footnote w:type="continuationSeparator" w:id="0">
    <w:p w:rsidR="00A908CC" w:rsidRDefault="00A908CC" w:rsidP="004C3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588"/>
    <w:rsid w:val="00022CEE"/>
    <w:rsid w:val="002976DC"/>
    <w:rsid w:val="002E5DF1"/>
    <w:rsid w:val="003054E9"/>
    <w:rsid w:val="00324D40"/>
    <w:rsid w:val="004206D8"/>
    <w:rsid w:val="0046155D"/>
    <w:rsid w:val="004C3588"/>
    <w:rsid w:val="0053049B"/>
    <w:rsid w:val="005702A9"/>
    <w:rsid w:val="006414D1"/>
    <w:rsid w:val="00733917"/>
    <w:rsid w:val="0081283C"/>
    <w:rsid w:val="00971094"/>
    <w:rsid w:val="009A1B95"/>
    <w:rsid w:val="00A908CC"/>
    <w:rsid w:val="00BB4EA2"/>
    <w:rsid w:val="00BB75CB"/>
    <w:rsid w:val="00BB7DD6"/>
    <w:rsid w:val="00EC0273"/>
    <w:rsid w:val="00FD177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46773-941B-4B06-85C0-207F83C0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
    <w:qFormat/>
    <w:rsid w:val="004C3588"/>
    <w:pPr>
      <w:widowControl w:val="0"/>
      <w:autoSpaceDE w:val="0"/>
      <w:autoSpaceDN w:val="0"/>
      <w:spacing w:after="0" w:line="240" w:lineRule="auto"/>
    </w:pPr>
    <w:rPr>
      <w:rFonts w:ascii="Arial" w:eastAsia="Arial" w:hAnsi="Arial" w:cs="Arial"/>
      <w:lang w:val="en-US"/>
    </w:rPr>
  </w:style>
  <w:style w:type="paragraph" w:styleId="Nadpis3">
    <w:name w:val="heading 3"/>
    <w:basedOn w:val="Normlny"/>
    <w:link w:val="Nadpis3Char"/>
    <w:uiPriority w:val="1"/>
    <w:qFormat/>
    <w:rsid w:val="004C3588"/>
    <w:pPr>
      <w:ind w:left="438"/>
      <w:outlineLvl w:val="2"/>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basedOn w:val="Predvolenpsmoodseku"/>
    <w:link w:val="Nadpis3"/>
    <w:uiPriority w:val="1"/>
    <w:rsid w:val="004C3588"/>
    <w:rPr>
      <w:rFonts w:ascii="Arial" w:eastAsia="Arial" w:hAnsi="Arial" w:cs="Arial"/>
      <w:b/>
      <w:bCs/>
      <w:lang w:val="en-US"/>
    </w:rPr>
  </w:style>
  <w:style w:type="table" w:customStyle="1" w:styleId="TableNormal">
    <w:name w:val="Table Normal"/>
    <w:uiPriority w:val="2"/>
    <w:semiHidden/>
    <w:unhideWhenUsed/>
    <w:qFormat/>
    <w:rsid w:val="004C35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sid w:val="004C3588"/>
  </w:style>
  <w:style w:type="character" w:customStyle="1" w:styleId="ZkladntextChar">
    <w:name w:val="Základný text Char"/>
    <w:basedOn w:val="Predvolenpsmoodseku"/>
    <w:link w:val="Zkladntext"/>
    <w:uiPriority w:val="1"/>
    <w:rsid w:val="004C3588"/>
    <w:rPr>
      <w:rFonts w:ascii="Arial" w:eastAsia="Arial" w:hAnsi="Arial" w:cs="Arial"/>
      <w:lang w:val="en-US"/>
    </w:rPr>
  </w:style>
  <w:style w:type="paragraph" w:customStyle="1" w:styleId="TableParagraph">
    <w:name w:val="Table Paragraph"/>
    <w:basedOn w:val="Normlny"/>
    <w:uiPriority w:val="1"/>
    <w:qFormat/>
    <w:rsid w:val="004C3588"/>
    <w:pPr>
      <w:spacing w:line="233" w:lineRule="exact"/>
      <w:ind w:left="50"/>
    </w:pPr>
  </w:style>
  <w:style w:type="paragraph" w:styleId="Hlavika">
    <w:name w:val="header"/>
    <w:basedOn w:val="Normlny"/>
    <w:link w:val="HlavikaChar"/>
    <w:uiPriority w:val="99"/>
    <w:unhideWhenUsed/>
    <w:rsid w:val="004C3588"/>
    <w:pPr>
      <w:tabs>
        <w:tab w:val="center" w:pos="4536"/>
        <w:tab w:val="right" w:pos="9072"/>
      </w:tabs>
    </w:pPr>
  </w:style>
  <w:style w:type="character" w:customStyle="1" w:styleId="HlavikaChar">
    <w:name w:val="Hlavička Char"/>
    <w:basedOn w:val="Predvolenpsmoodseku"/>
    <w:link w:val="Hlavika"/>
    <w:uiPriority w:val="99"/>
    <w:rsid w:val="004C3588"/>
    <w:rPr>
      <w:rFonts w:ascii="Arial" w:eastAsia="Arial" w:hAnsi="Arial" w:cs="Arial"/>
      <w:lang w:val="en-US"/>
    </w:rPr>
  </w:style>
  <w:style w:type="paragraph" w:styleId="Pta">
    <w:name w:val="footer"/>
    <w:basedOn w:val="Normlny"/>
    <w:link w:val="PtaChar"/>
    <w:uiPriority w:val="99"/>
    <w:unhideWhenUsed/>
    <w:rsid w:val="004C3588"/>
    <w:pPr>
      <w:tabs>
        <w:tab w:val="center" w:pos="4536"/>
        <w:tab w:val="right" w:pos="9072"/>
      </w:tabs>
    </w:pPr>
  </w:style>
  <w:style w:type="character" w:customStyle="1" w:styleId="PtaChar">
    <w:name w:val="Päta Char"/>
    <w:basedOn w:val="Predvolenpsmoodseku"/>
    <w:link w:val="Pta"/>
    <w:uiPriority w:val="99"/>
    <w:rsid w:val="004C3588"/>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AA44-E558-4CFC-8E1A-F6182BDE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662</Words>
  <Characters>3779</Characters>
  <Application>Microsoft Office Word</Application>
  <DocSecurity>0</DocSecurity>
  <Lines>31</Lines>
  <Paragraphs>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Benešová Nadežda Ing.</dc:creator>
  <cp:keywords/>
  <dc:description/>
  <cp:lastModifiedBy>Benešová Nadežda Ing.</cp:lastModifiedBy>
  <cp:revision>11</cp:revision>
  <dcterms:created xsi:type="dcterms:W3CDTF">2022-11-28T10:41:00Z</dcterms:created>
  <dcterms:modified xsi:type="dcterms:W3CDTF">2022-11-28T13:08:00Z</dcterms:modified>
</cp:coreProperties>
</file>