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30B" w:rsidRDefault="00FD130B" w:rsidP="00FD130B">
      <w:pPr>
        <w:pStyle w:val="Nadpis1"/>
        <w:widowControl/>
        <w:spacing w:line="288" w:lineRule="auto"/>
        <w:jc w:val="left"/>
        <w:rPr>
          <w:i/>
          <w:sz w:val="24"/>
        </w:rPr>
      </w:pPr>
      <w:bookmarkStart w:id="0" w:name="_GoBack"/>
      <w:bookmarkEnd w:id="0"/>
      <w:r>
        <w:rPr>
          <w:i/>
          <w:sz w:val="24"/>
        </w:rPr>
        <w:t>Váženie, štandardné chyby a limity spoľahlivosti odhadov</w:t>
      </w:r>
    </w:p>
    <w:p w:rsidR="00FD130B" w:rsidRDefault="00FD130B" w:rsidP="00FD130B">
      <w:pPr>
        <w:widowControl/>
      </w:pPr>
    </w:p>
    <w:p w:rsidR="00FD130B" w:rsidRPr="00A91427" w:rsidRDefault="00FD130B" w:rsidP="00FD130B">
      <w:pPr>
        <w:jc w:val="both"/>
        <w:rPr>
          <w:rFonts w:ascii="Arial" w:hAnsi="Arial"/>
          <w:b/>
          <w:sz w:val="22"/>
          <w:u w:val="single"/>
        </w:rPr>
      </w:pPr>
      <w:r w:rsidRPr="00A91427">
        <w:rPr>
          <w:rFonts w:ascii="Arial" w:hAnsi="Arial"/>
          <w:b/>
          <w:sz w:val="22"/>
          <w:u w:val="single"/>
        </w:rPr>
        <w:t>Váženie</w:t>
      </w:r>
    </w:p>
    <w:p w:rsidR="00FD130B" w:rsidRPr="001F7DAC" w:rsidRDefault="00FD130B" w:rsidP="00FD130B">
      <w:pPr>
        <w:jc w:val="both"/>
        <w:rPr>
          <w:rFonts w:ascii="Arial" w:hAnsi="Arial"/>
          <w:b/>
          <w:sz w:val="22"/>
        </w:rPr>
      </w:pPr>
    </w:p>
    <w:p w:rsidR="00FD130B" w:rsidRDefault="00FD130B" w:rsidP="00FD130B">
      <w:pPr>
        <w:spacing w:line="288" w:lineRule="auto"/>
        <w:ind w:firstLine="425"/>
        <w:jc w:val="both"/>
        <w:rPr>
          <w:rFonts w:ascii="Arial" w:hAnsi="Arial"/>
          <w:sz w:val="22"/>
        </w:rPr>
      </w:pPr>
      <w:r w:rsidRPr="00D80E10">
        <w:rPr>
          <w:rFonts w:ascii="Arial" w:hAnsi="Arial"/>
          <w:sz w:val="22"/>
        </w:rPr>
        <w:t>Domácnosti, ktoré sú súčasťou výberového zisťovania pracovných síl reprezentujú celú populáciu SR žijúcu v súkromných domácnostiach. Aby bolo možné na základe ich odpovedí počítať odhady za celú populáciu, je potrebné každej odpovedajúcej jednotke priradiť výberovú váhu, ktorá určuje počet jednotiek</w:t>
      </w:r>
      <w:r>
        <w:rPr>
          <w:rFonts w:ascii="Arial" w:hAnsi="Arial"/>
          <w:sz w:val="22"/>
        </w:rPr>
        <w:t>,</w:t>
      </w:r>
      <w:r w:rsidRPr="00D80E10">
        <w:rPr>
          <w:rFonts w:ascii="Arial" w:hAnsi="Arial"/>
          <w:sz w:val="22"/>
        </w:rPr>
        <w:t xml:space="preserve"> ktoré nie sú súčasťou výberového zisťovania a sú danou jednotkou reprezentované. Výpočet váh prebieha v troch krokoch:</w:t>
      </w:r>
    </w:p>
    <w:p w:rsidR="00FD130B" w:rsidRPr="00D80E10" w:rsidRDefault="00FD130B" w:rsidP="00FD130B">
      <w:pPr>
        <w:ind w:firstLine="425"/>
        <w:jc w:val="both"/>
        <w:rPr>
          <w:rFonts w:ascii="Arial" w:hAnsi="Arial"/>
          <w:sz w:val="22"/>
        </w:rPr>
      </w:pPr>
    </w:p>
    <w:p w:rsidR="00FD130B" w:rsidRDefault="00FD130B" w:rsidP="00FD130B">
      <w:pPr>
        <w:pStyle w:val="Odsekzoznamu"/>
        <w:numPr>
          <w:ilvl w:val="0"/>
          <w:numId w:val="1"/>
        </w:numPr>
        <w:spacing w:after="0" w:line="288"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dizajnové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vybratá domácnosť dostane priradenú dizajnovú váhu, ktorá je rovná obrátenej hodnote pravdepodobnosti výberu. V prípade stratifikovaného klastrového náhodného výberu sa dizajnové váhy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571A53" w:rsidP="00FD130B">
      <w:pPr>
        <w:pStyle w:val="Odsekzoznamu"/>
        <w:ind w:left="425"/>
        <w:contextualSpacing w:val="0"/>
        <w:jc w:val="both"/>
        <w:rPr>
          <w:rFonts w:ascii="Arial" w:eastAsia="Times New Roman" w:hAnsi="Arial"/>
          <w:szCs w:val="20"/>
          <w:lang w:eastAsia="cs-CZ"/>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D80E10" w:rsidRDefault="00FD130B" w:rsidP="00FD130B">
      <w:pPr>
        <w:pStyle w:val="Odsekzoznamu"/>
        <w:spacing w:line="288" w:lineRule="auto"/>
        <w:ind w:left="425"/>
        <w:contextualSpacing w:val="0"/>
        <w:jc w:val="both"/>
        <w:rPr>
          <w:rFonts w:ascii="Arial" w:eastAsia="Times New Roman" w:hAnsi="Arial"/>
          <w:szCs w:val="20"/>
          <w:lang w:eastAsia="cs-CZ"/>
        </w:rPr>
      </w:pPr>
      <w:r w:rsidRPr="00D80E10">
        <w:rPr>
          <w:rFonts w:ascii="Arial" w:eastAsia="Times New Roman" w:hAnsi="Arial"/>
          <w:szCs w:val="20"/>
          <w:lang w:eastAsia="cs-CZ"/>
        </w:rPr>
        <w:t xml:space="preserve">kde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celkový počet domácností v </w:t>
      </w:r>
      <m:oMath>
        <m:r>
          <w:rPr>
            <w:rFonts w:ascii="Cambria Math" w:eastAsia="Times New Roman" w:hAnsi="Cambria Math"/>
          </w:rPr>
          <m:t>i</m:t>
        </m:r>
      </m:oMath>
      <w:r w:rsidRPr="00D80E10">
        <w:rPr>
          <w:rFonts w:ascii="Arial" w:eastAsia="Times New Roman" w:hAnsi="Arial"/>
          <w:szCs w:val="20"/>
          <w:lang w:eastAsia="cs-CZ"/>
        </w:rPr>
        <w:t xml:space="preserve">-tom klastri </w:t>
      </w:r>
      <m:oMath>
        <m:r>
          <w:rPr>
            <w:rFonts w:ascii="Cambria Math" w:eastAsia="Times New Roman" w:hAnsi="Cambria Math"/>
          </w:rPr>
          <m:t>h</m:t>
        </m:r>
      </m:oMath>
      <w:r w:rsidRPr="00D80E10">
        <w:rPr>
          <w:rFonts w:ascii="Arial" w:eastAsia="Times New Roman" w:hAnsi="Arial"/>
          <w:szCs w:val="20"/>
          <w:lang w:eastAsia="cs-CZ"/>
        </w:rPr>
        <w:t xml:space="preserve">-tej straty a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príslušný počet vybratých domácností. </w:t>
      </w:r>
    </w:p>
    <w:p w:rsidR="00FD130B" w:rsidRDefault="00FD130B" w:rsidP="00FD130B">
      <w:pPr>
        <w:pStyle w:val="Odsekzoznamu"/>
        <w:numPr>
          <w:ilvl w:val="0"/>
          <w:numId w:val="1"/>
        </w:numPr>
        <w:spacing w:after="0" w:line="240"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prvotné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odpovedajúca domácnosť dostane pridelenú dizajnovú váhu upravenú o mieru neodpovede. Tento krok sa vykonáva na úrovni stratifikácie. Ak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D80E10">
        <w:rPr>
          <w:rFonts w:ascii="Arial" w:eastAsia="Times New Roman" w:hAnsi="Arial"/>
          <w:szCs w:val="20"/>
          <w:lang w:eastAsia="cs-CZ"/>
        </w:rPr>
        <w:t xml:space="preserve"> označuje mieru odpovede v </w:t>
      </w:r>
      <m:oMath>
        <m:r>
          <w:rPr>
            <w:rFonts w:ascii="Cambria Math" w:eastAsia="Times New Roman" w:hAnsi="Cambria Math"/>
          </w:rPr>
          <m:t>h</m:t>
        </m:r>
      </m:oMath>
      <w:r w:rsidRPr="00D80E10">
        <w:rPr>
          <w:rFonts w:ascii="Arial" w:eastAsia="Times New Roman" w:hAnsi="Arial"/>
          <w:szCs w:val="20"/>
          <w:lang w:eastAsia="cs-CZ"/>
        </w:rPr>
        <w:t>-tej strate, tak potom prvotné váhy sa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571A53" w:rsidP="00FD130B">
      <w:pPr>
        <w:pStyle w:val="Odsekzoznamu"/>
        <w:ind w:left="425"/>
        <w:contextualSpacing w:val="0"/>
        <w:jc w:val="both"/>
        <w:rPr>
          <w:rFonts w:ascii="Arial" w:eastAsia="Times New Roman" w:hAnsi="Arial"/>
          <w:szCs w:val="20"/>
          <w:lang w:eastAsia="cs-CZ"/>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1F7DAC" w:rsidRDefault="00FD130B" w:rsidP="00FD130B">
      <w:pPr>
        <w:pStyle w:val="Odsekzoznamu"/>
        <w:numPr>
          <w:ilvl w:val="0"/>
          <w:numId w:val="1"/>
        </w:numPr>
        <w:spacing w:line="288" w:lineRule="auto"/>
        <w:ind w:left="425" w:hanging="357"/>
        <w:jc w:val="both"/>
        <w:rPr>
          <w:b/>
        </w:rPr>
      </w:pPr>
      <w:r w:rsidRPr="00FF4D9A">
        <w:rPr>
          <w:rFonts w:ascii="Arial" w:eastAsia="Times New Roman" w:hAnsi="Arial"/>
          <w:i/>
          <w:szCs w:val="20"/>
          <w:lang w:eastAsia="cs-CZ"/>
        </w:rPr>
        <w:t>kalibrované váhy</w:t>
      </w:r>
      <w:r w:rsidRPr="001F7DAC">
        <w:rPr>
          <w:rFonts w:ascii="Arial" w:eastAsia="Times New Roman" w:hAnsi="Arial"/>
          <w:szCs w:val="20"/>
          <w:lang w:eastAsia="cs-CZ"/>
        </w:rPr>
        <w:t xml:space="preserve"> </w:t>
      </w:r>
      <w:r>
        <w:rPr>
          <w:rFonts w:ascii="Arial" w:eastAsia="Times New Roman" w:hAnsi="Arial"/>
          <w:szCs w:val="20"/>
          <w:lang w:eastAsia="cs-CZ"/>
        </w:rPr>
        <w:t>-</w:t>
      </w:r>
      <w:r w:rsidRPr="001F7DAC">
        <w:rPr>
          <w:rFonts w:ascii="Arial" w:eastAsia="Times New Roman" w:hAnsi="Arial"/>
          <w:szCs w:val="20"/>
          <w:lang w:eastAsia="cs-CZ"/>
        </w:rPr>
        <w:t xml:space="preserve"> prvotné váhy sa kalibrujú, aby zreprodukovali známe populačné úhrny. Týmto krokom sa do výsledných odhadov vnesie presnosť a konzistencia. V prípade výberového zisťovania pracovných síl sa ako kalibračné kritériá použili demografická štruktúra obyvateľov a</w:t>
      </w:r>
      <w:r>
        <w:rPr>
          <w:rFonts w:ascii="Arial" w:eastAsia="Times New Roman" w:hAnsi="Arial"/>
          <w:szCs w:val="20"/>
          <w:lang w:eastAsia="cs-CZ"/>
        </w:rPr>
        <w:t xml:space="preserve"> počet domácností podľa krajov. </w:t>
      </w:r>
      <w:r w:rsidRPr="001F7DAC">
        <w:rPr>
          <w:rFonts w:ascii="Arial" w:eastAsia="Times New Roman" w:hAnsi="Arial"/>
          <w:szCs w:val="20"/>
          <w:lang w:eastAsia="cs-CZ"/>
        </w:rPr>
        <w:t>Na kali</w:t>
      </w:r>
      <w:r>
        <w:rPr>
          <w:rFonts w:ascii="Arial" w:eastAsia="Times New Roman" w:hAnsi="Arial"/>
          <w:szCs w:val="20"/>
          <w:lang w:eastAsia="cs-CZ"/>
        </w:rPr>
        <w:t>bráciu sa použil nástroj Calif,</w:t>
      </w:r>
      <w:r w:rsidRPr="001F7DAC">
        <w:rPr>
          <w:rFonts w:ascii="Arial" w:eastAsia="Times New Roman" w:hAnsi="Arial"/>
          <w:szCs w:val="20"/>
          <w:lang w:eastAsia="cs-CZ"/>
        </w:rPr>
        <w:t>viac</w:t>
      </w:r>
      <w:r>
        <w:rPr>
          <w:rFonts w:ascii="Arial" w:eastAsia="Times New Roman" w:hAnsi="Arial"/>
          <w:szCs w:val="20"/>
          <w:lang w:eastAsia="cs-CZ"/>
        </w:rPr>
        <w:t> </w:t>
      </w:r>
      <w:r w:rsidRPr="001F7DAC">
        <w:rPr>
          <w:rFonts w:ascii="Arial" w:eastAsia="Times New Roman" w:hAnsi="Arial"/>
          <w:szCs w:val="20"/>
          <w:lang w:eastAsia="cs-CZ"/>
        </w:rPr>
        <w:t>informácií</w:t>
      </w:r>
      <w:r>
        <w:rPr>
          <w:rFonts w:ascii="Arial" w:eastAsia="Times New Roman" w:hAnsi="Arial"/>
          <w:szCs w:val="20"/>
          <w:lang w:eastAsia="cs-CZ"/>
        </w:rPr>
        <w:t> </w:t>
      </w:r>
      <w:r w:rsidRPr="001F7DAC">
        <w:rPr>
          <w:rFonts w:ascii="Arial" w:eastAsia="Times New Roman" w:hAnsi="Arial"/>
          <w:szCs w:val="20"/>
          <w:lang w:eastAsia="cs-CZ"/>
        </w:rPr>
        <w:t>je</w:t>
      </w:r>
      <w:r>
        <w:rPr>
          <w:rFonts w:ascii="Arial" w:eastAsia="Times New Roman" w:hAnsi="Arial"/>
          <w:szCs w:val="20"/>
          <w:lang w:eastAsia="cs-CZ"/>
        </w:rPr>
        <w:t> </w:t>
      </w:r>
      <w:r w:rsidRPr="001F7DAC">
        <w:rPr>
          <w:rFonts w:ascii="Arial" w:eastAsia="Times New Roman" w:hAnsi="Arial"/>
          <w:szCs w:val="20"/>
          <w:lang w:eastAsia="cs-CZ"/>
        </w:rPr>
        <w:t>možné</w:t>
      </w:r>
      <w:r>
        <w:rPr>
          <w:rFonts w:ascii="Arial" w:eastAsia="Times New Roman" w:hAnsi="Arial"/>
          <w:szCs w:val="20"/>
          <w:lang w:eastAsia="cs-CZ"/>
        </w:rPr>
        <w:t> </w:t>
      </w:r>
      <w:r w:rsidRPr="001F7DAC">
        <w:rPr>
          <w:rFonts w:ascii="Arial" w:eastAsia="Times New Roman" w:hAnsi="Arial"/>
          <w:szCs w:val="20"/>
          <w:lang w:eastAsia="cs-CZ"/>
        </w:rPr>
        <w:t>nájsť</w:t>
      </w:r>
      <w:r>
        <w:rPr>
          <w:rFonts w:ascii="Arial" w:eastAsia="Times New Roman" w:hAnsi="Arial"/>
          <w:szCs w:val="20"/>
          <w:lang w:eastAsia="cs-CZ"/>
        </w:rPr>
        <w:t> </w:t>
      </w:r>
      <w:r w:rsidRPr="001F7DAC">
        <w:rPr>
          <w:rFonts w:ascii="Arial" w:eastAsia="Times New Roman" w:hAnsi="Arial"/>
          <w:szCs w:val="20"/>
          <w:lang w:eastAsia="cs-CZ"/>
        </w:rPr>
        <w:t xml:space="preserve">na </w:t>
      </w:r>
      <w:hyperlink r:id="rId7" w:history="1">
        <w:r w:rsidRPr="005E48A1">
          <w:rPr>
            <w:rStyle w:val="Hypertextovprepojenie"/>
            <w:rFonts w:ascii="Arial" w:eastAsia="Times New Roman" w:hAnsi="Arial"/>
            <w:szCs w:val="20"/>
            <w:lang w:eastAsia="cs-CZ"/>
          </w:rPr>
          <w:t>https://slovak.statistics.sk/wps/portal/ext/products/software.tools</w:t>
        </w:r>
      </w:hyperlink>
      <w:r>
        <w:t xml:space="preserve"> </w:t>
      </w:r>
    </w:p>
    <w:p w:rsidR="00FD130B" w:rsidRPr="00D85566" w:rsidRDefault="00FD130B" w:rsidP="00FD130B">
      <w:pPr>
        <w:pStyle w:val="Zkladntext"/>
        <w:widowControl/>
        <w:spacing w:after="0" w:line="288" w:lineRule="auto"/>
        <w:jc w:val="both"/>
        <w:rPr>
          <w:rFonts w:ascii="Arial" w:hAnsi="Arial"/>
          <w:sz w:val="22"/>
          <w:u w:val="single"/>
        </w:rPr>
      </w:pPr>
    </w:p>
    <w:p w:rsidR="00FD130B" w:rsidRPr="00006D6C" w:rsidRDefault="00FD130B" w:rsidP="00FD130B">
      <w:pPr>
        <w:jc w:val="both"/>
        <w:rPr>
          <w:rFonts w:ascii="Arial" w:hAnsi="Arial"/>
          <w:b/>
          <w:sz w:val="22"/>
          <w:u w:val="single"/>
        </w:rPr>
      </w:pPr>
      <w:r w:rsidRPr="00006D6C">
        <w:rPr>
          <w:rFonts w:ascii="Arial" w:hAnsi="Arial"/>
          <w:b/>
          <w:sz w:val="22"/>
          <w:u w:val="single"/>
        </w:rPr>
        <w:t>Štandardná chyba odhadu úhrnu - absolútneho odhadu</w:t>
      </w:r>
    </w:p>
    <w:p w:rsidR="00FD130B" w:rsidRPr="001F7DAC" w:rsidRDefault="00FD130B" w:rsidP="00FD130B">
      <w:pPr>
        <w:jc w:val="both"/>
        <w:rPr>
          <w:rFonts w:ascii="Arial" w:hAnsi="Arial"/>
          <w:sz w:val="22"/>
        </w:rPr>
      </w:pPr>
    </w:p>
    <w:p w:rsidR="00FD130B" w:rsidRDefault="00FD130B" w:rsidP="00FD130B">
      <w:pPr>
        <w:spacing w:line="288" w:lineRule="auto"/>
        <w:jc w:val="both"/>
        <w:rPr>
          <w:rFonts w:ascii="Arial" w:hAnsi="Arial"/>
          <w:sz w:val="22"/>
        </w:rPr>
      </w:pPr>
      <w:r>
        <w:rPr>
          <w:rFonts w:ascii="Arial" w:hAnsi="Arial"/>
          <w:sz w:val="22"/>
        </w:rPr>
        <w:t xml:space="preserve">       </w:t>
      </w:r>
      <w:r w:rsidRPr="001F7DAC">
        <w:rPr>
          <w:rFonts w:ascii="Arial" w:hAnsi="Arial"/>
          <w:sz w:val="22"/>
        </w:rPr>
        <w:t>Keďže pre výberové zisťovanie pracovných síl bol výber spravodajských jednotiek realizovaný prostredníctvom stratifikovaného klastrového náhodného výberu, musela byť táto skutočnosť zohľadnená aj pri výpočte štandardných chýb. Štandardná chyba odhadu úhrnu je druhou odmocninou rozptylu tohto odhadu a je počítaná ako</w:t>
      </w:r>
    </w:p>
    <w:p w:rsidR="00FD130B" w:rsidRPr="001F7DAC" w:rsidRDefault="00FD130B" w:rsidP="00FD130B">
      <w:pPr>
        <w:jc w:val="both"/>
        <w:rPr>
          <w:rFonts w:ascii="Arial" w:hAnsi="Arial"/>
          <w:sz w:val="22"/>
        </w:rPr>
      </w:pPr>
    </w:p>
    <w:p w:rsidR="00FD130B" w:rsidRPr="00FD130B" w:rsidRDefault="00FD130B" w:rsidP="00FD130B">
      <w:pPr>
        <w:jc w:val="both"/>
        <w:rPr>
          <w:rFonts w:ascii="Arial" w:hAnsi="Arial"/>
          <w:sz w:val="22"/>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Pr="001F7DAC" w:rsidRDefault="00FD130B" w:rsidP="00FD130B">
      <w:pPr>
        <w:jc w:val="both"/>
        <w:rPr>
          <w:rFonts w:ascii="Arial" w:hAnsi="Arial"/>
          <w:sz w:val="22"/>
        </w:rPr>
      </w:pPr>
    </w:p>
    <w:p w:rsidR="001F4B33" w:rsidRDefault="00FD130B" w:rsidP="00FD130B">
      <w:pPr>
        <w:rPr>
          <w:rFonts w:ascii="Arial" w:hAnsi="Arial"/>
          <w:sz w:val="22"/>
        </w:rPr>
      </w:pPr>
      <w:r w:rsidRPr="001F7DAC">
        <w:rPr>
          <w:rFonts w:ascii="Arial" w:hAnsi="Arial"/>
          <w:sz w:val="22"/>
        </w:rPr>
        <w:t xml:space="preserve">kde </w:t>
      </w:r>
      <m:oMath>
        <m:r>
          <w:rPr>
            <w:rFonts w:ascii="Cambria Math" w:hAnsi="Cambria Math"/>
          </w:rPr>
          <m:t>H</m:t>
        </m:r>
      </m:oMath>
      <w:r w:rsidRPr="001F7DAC">
        <w:rPr>
          <w:rFonts w:ascii="Arial" w:hAnsi="Arial"/>
          <w:sz w:val="22"/>
        </w:rPr>
        <w:t xml:space="preserve"> je počet strát výberu,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klastrov vybraných z </w:t>
      </w:r>
      <m:oMath>
        <m:r>
          <w:rPr>
            <w:rFonts w:ascii="Cambria Math" w:hAnsi="Cambria Math"/>
          </w:rPr>
          <m:t>h</m:t>
        </m:r>
      </m:oMath>
      <w:r w:rsidRPr="001F7DAC">
        <w:rPr>
          <w:rFonts w:ascii="Arial" w:hAnsi="Arial"/>
          <w:sz w:val="22"/>
        </w:rPr>
        <w:t xml:space="preserve">-tej straty,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1F7DAC">
        <w:rPr>
          <w:rFonts w:ascii="Arial" w:hAnsi="Arial"/>
          <w:sz w:val="22"/>
        </w:rPr>
        <w:t xml:space="preserve"> počet domácností vybratých z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-teho klastra a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všetkých klastrov v </w:t>
      </w:r>
      <m:oMath>
        <m:r>
          <w:rPr>
            <w:rFonts w:ascii="Cambria Math" w:hAnsi="Cambria Math"/>
          </w:rPr>
          <m:t>h</m:t>
        </m:r>
      </m:oMath>
      <w:r w:rsidRPr="001F7DAC">
        <w:rPr>
          <w:rFonts w:ascii="Arial" w:hAnsi="Arial"/>
          <w:sz w:val="22"/>
        </w:rPr>
        <w:t>-tej strate.</w:t>
      </w:r>
    </w:p>
    <w:p w:rsidR="00FD130B" w:rsidRDefault="00FD130B" w:rsidP="00FD130B">
      <w:pPr>
        <w:rPr>
          <w:rFonts w:ascii="Arial" w:hAnsi="Arial"/>
          <w:sz w:val="22"/>
        </w:rPr>
      </w:pPr>
    </w:p>
    <w:p w:rsidR="00FD130B" w:rsidRDefault="00FD130B" w:rsidP="00FD130B">
      <w:pPr>
        <w:rPr>
          <w:rFonts w:ascii="Arial" w:hAnsi="Arial"/>
          <w:sz w:val="22"/>
        </w:rPr>
      </w:pPr>
    </w:p>
    <w:p w:rsidR="00FD130B" w:rsidRDefault="00FD130B" w:rsidP="00FD130B">
      <w:pPr>
        <w:rPr>
          <w:rFonts w:ascii="Arial" w:hAnsi="Arial"/>
          <w:sz w:val="22"/>
        </w:rPr>
      </w:pPr>
    </w:p>
    <w:p w:rsidR="00FD130B" w:rsidRPr="003735B2" w:rsidRDefault="00FD130B" w:rsidP="00FD130B">
      <w:pPr>
        <w:jc w:val="both"/>
        <w:rPr>
          <w:rFonts w:ascii="Arial" w:hAnsi="Arial" w:cs="Arial"/>
          <w:b/>
          <w:i/>
          <w:sz w:val="24"/>
          <w:szCs w:val="24"/>
          <w:lang w:val="en-GB"/>
        </w:rPr>
      </w:pPr>
      <w:r w:rsidRPr="003735B2">
        <w:rPr>
          <w:rFonts w:ascii="Arial" w:hAnsi="Arial" w:cs="Arial"/>
          <w:b/>
          <w:i/>
          <w:sz w:val="24"/>
          <w:szCs w:val="24"/>
          <w:lang w:val="en-GB"/>
        </w:rPr>
        <w:lastRenderedPageBreak/>
        <w:t>Weighting, standard errors and reliability limits</w:t>
      </w:r>
    </w:p>
    <w:p w:rsidR="00FD130B" w:rsidRDefault="00FD130B" w:rsidP="00FD130B">
      <w:pPr>
        <w:jc w:val="both"/>
        <w:rPr>
          <w:rFonts w:ascii="Arial" w:hAnsi="Arial" w:cs="Arial"/>
          <w:b/>
          <w:sz w:val="22"/>
          <w:szCs w:val="22"/>
          <w:lang w:val="en-GB"/>
        </w:rPr>
      </w:pPr>
    </w:p>
    <w:p w:rsidR="00FD130B" w:rsidRPr="003735B2" w:rsidRDefault="00FD130B" w:rsidP="00FD130B">
      <w:pPr>
        <w:jc w:val="both"/>
        <w:rPr>
          <w:rFonts w:ascii="Arial" w:hAnsi="Arial" w:cs="Arial"/>
          <w:b/>
          <w:sz w:val="22"/>
          <w:szCs w:val="22"/>
          <w:u w:val="single"/>
          <w:lang w:val="en-GB"/>
        </w:rPr>
      </w:pPr>
      <w:r w:rsidRPr="003735B2">
        <w:rPr>
          <w:rFonts w:ascii="Arial" w:hAnsi="Arial" w:cs="Arial"/>
          <w:b/>
          <w:sz w:val="22"/>
          <w:szCs w:val="22"/>
          <w:u w:val="single"/>
          <w:lang w:val="en-GB"/>
        </w:rPr>
        <w:t>Weighting</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ind w:firstLine="425"/>
        <w:jc w:val="both"/>
        <w:rPr>
          <w:rFonts w:ascii="Arial" w:hAnsi="Arial" w:cs="Arial"/>
          <w:sz w:val="22"/>
          <w:szCs w:val="22"/>
        </w:rPr>
      </w:pPr>
      <w:r>
        <w:rPr>
          <w:rFonts w:ascii="Arial" w:hAnsi="Arial" w:cs="Arial"/>
          <w:sz w:val="22"/>
          <w:szCs w:val="22"/>
        </w:rPr>
        <w:t xml:space="preserve"> </w:t>
      </w:r>
      <w:r w:rsidRPr="0036708D">
        <w:rPr>
          <w:rFonts w:ascii="Arial" w:hAnsi="Arial" w:cs="Arial"/>
          <w:sz w:val="22"/>
          <w:szCs w:val="22"/>
        </w:rPr>
        <w:t>Households that are part of Labour Force Survey represent the whole population of individuals living in private households in Slovakia. In order to be able to calculate estimates for the whole population, it is necessary to assign some sampling weight to each reporting unit. It determines the number of units that are not part of the survey but are represented by a given one. The process of calculation of weights consists of three steps:</w:t>
      </w:r>
    </w:p>
    <w:p w:rsidR="00FD130B" w:rsidRPr="0036708D" w:rsidRDefault="00FD130B" w:rsidP="00FD130B">
      <w:pPr>
        <w:spacing w:line="288" w:lineRule="auto"/>
        <w:ind w:firstLine="425"/>
        <w:jc w:val="both"/>
        <w:rPr>
          <w:rFonts w:ascii="Arial" w:hAnsi="Arial" w:cs="Arial"/>
          <w:sz w:val="22"/>
          <w:szCs w:val="22"/>
        </w:rPr>
      </w:pPr>
    </w:p>
    <w:p w:rsidR="00FD130B" w:rsidRPr="0036708D" w:rsidRDefault="00FD130B" w:rsidP="00D24BCF">
      <w:pPr>
        <w:pStyle w:val="Odsekzoznamu"/>
        <w:numPr>
          <w:ilvl w:val="0"/>
          <w:numId w:val="4"/>
        </w:numPr>
        <w:spacing w:line="288" w:lineRule="auto"/>
        <w:ind w:left="426" w:hanging="284"/>
        <w:contextualSpacing w:val="0"/>
        <w:jc w:val="both"/>
        <w:rPr>
          <w:rFonts w:ascii="Arial" w:hAnsi="Arial" w:cs="Arial"/>
        </w:rPr>
      </w:pPr>
      <w:r w:rsidRPr="0036708D">
        <w:rPr>
          <w:rFonts w:ascii="Arial" w:hAnsi="Arial" w:cs="Arial"/>
          <w:i/>
        </w:rPr>
        <w:t>design weights</w:t>
      </w:r>
      <w:r w:rsidRPr="0036708D">
        <w:rPr>
          <w:rFonts w:ascii="Arial" w:hAnsi="Arial" w:cs="Arial"/>
        </w:rPr>
        <w:t xml:space="preserve"> – each selected unit gets a design weight, which is a reverse value of probability of selection. In case of stratified cluster random sample, design weights are calculated as </w:t>
      </w:r>
    </w:p>
    <w:p w:rsidR="00FD130B" w:rsidRPr="00FD130B" w:rsidRDefault="00571A53" w:rsidP="00FD130B">
      <w:pPr>
        <w:pStyle w:val="Odsekzoznamu"/>
        <w:ind w:left="425"/>
        <w:contextualSpacing w:val="0"/>
        <w:jc w:val="both"/>
        <w:rPr>
          <w:rFonts w:ascii="Arial" w:eastAsia="Times New Roman" w:hAnsi="Arial" w:cs="Arial"/>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36708D" w:rsidRDefault="00FD130B" w:rsidP="00FD130B">
      <w:pPr>
        <w:pStyle w:val="Odsekzoznamu"/>
        <w:spacing w:line="288" w:lineRule="auto"/>
        <w:ind w:left="425"/>
        <w:contextualSpacing w:val="0"/>
        <w:jc w:val="both"/>
        <w:rPr>
          <w:rFonts w:ascii="Arial" w:hAnsi="Arial" w:cs="Arial"/>
        </w:rPr>
      </w:pPr>
      <w:r w:rsidRPr="0036708D">
        <w:rPr>
          <w:rFonts w:ascii="Arial" w:hAnsi="Arial" w:cs="Arial"/>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the total number of households in </w:t>
      </w:r>
      <m:oMath>
        <m:r>
          <w:rPr>
            <w:rFonts w:ascii="Cambria Math" w:eastAsia="Times New Roman" w:hAnsi="Cambria Math"/>
          </w:rPr>
          <m:t>i</m:t>
        </m:r>
      </m:oMath>
      <w:r w:rsidRPr="0036708D">
        <w:rPr>
          <w:rFonts w:ascii="Arial" w:eastAsia="Times New Roman" w:hAnsi="Arial" w:cs="Arial"/>
        </w:rPr>
        <w:t xml:space="preserve">-th cluster of </w:t>
      </w:r>
      <m:oMath>
        <m:r>
          <w:rPr>
            <w:rFonts w:ascii="Cambria Math" w:eastAsia="Times New Roman" w:hAnsi="Cambria Math"/>
          </w:rPr>
          <m:t>h</m:t>
        </m:r>
      </m:oMath>
      <w:r w:rsidRPr="0036708D">
        <w:rPr>
          <w:rFonts w:ascii="Arial" w:eastAsia="Times New Roman" w:hAnsi="Arial" w:cs="Arial"/>
        </w:rPr>
        <w:t xml:space="preserve">-th stratum 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a respective number of selected households. </w:t>
      </w:r>
    </w:p>
    <w:p w:rsidR="00FD130B" w:rsidRPr="0036708D" w:rsidRDefault="00FD130B" w:rsidP="00D24BCF">
      <w:pPr>
        <w:pStyle w:val="Odsekzoznamu"/>
        <w:numPr>
          <w:ilvl w:val="0"/>
          <w:numId w:val="4"/>
        </w:numPr>
        <w:spacing w:after="0" w:line="288" w:lineRule="auto"/>
        <w:ind w:left="425" w:hanging="283"/>
        <w:contextualSpacing w:val="0"/>
        <w:jc w:val="both"/>
        <w:rPr>
          <w:rFonts w:ascii="Arial" w:hAnsi="Arial" w:cs="Arial"/>
        </w:rPr>
      </w:pPr>
      <w:r w:rsidRPr="0036708D">
        <w:rPr>
          <w:rFonts w:ascii="Arial" w:hAnsi="Arial" w:cs="Arial"/>
          <w:i/>
        </w:rPr>
        <w:t>initial weights</w:t>
      </w:r>
      <w:r w:rsidRPr="0036708D">
        <w:rPr>
          <w:rFonts w:ascii="Arial" w:hAnsi="Arial" w:cs="Arial"/>
        </w:rPr>
        <w:t xml:space="preserve"> – each reporting unit gets a design weight adjusted for nonresponse. This process is carried out at the stratification level. If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36708D">
        <w:rPr>
          <w:rFonts w:ascii="Arial" w:eastAsia="Times New Roman" w:hAnsi="Arial" w:cs="Arial"/>
        </w:rPr>
        <w:t xml:space="preserve"> denotes the response rate in </w:t>
      </w:r>
      <m:oMath>
        <m:r>
          <w:rPr>
            <w:rFonts w:ascii="Cambria Math" w:eastAsia="Times New Roman" w:hAnsi="Cambria Math"/>
          </w:rPr>
          <m:t>h</m:t>
        </m:r>
      </m:oMath>
      <w:r w:rsidRPr="0036708D">
        <w:rPr>
          <w:rFonts w:ascii="Arial" w:eastAsia="Times New Roman" w:hAnsi="Arial" w:cs="Arial"/>
        </w:rPr>
        <w:t>-th stratum then initial weights are calculated as</w:t>
      </w:r>
    </w:p>
    <w:p w:rsidR="00FD130B" w:rsidRPr="0036708D" w:rsidRDefault="00FD130B" w:rsidP="00FD130B">
      <w:pPr>
        <w:pStyle w:val="Odsekzoznamu"/>
        <w:spacing w:after="0"/>
        <w:ind w:left="425"/>
        <w:contextualSpacing w:val="0"/>
        <w:jc w:val="both"/>
        <w:rPr>
          <w:rFonts w:ascii="Arial" w:hAnsi="Arial" w:cs="Arial"/>
        </w:rPr>
      </w:pPr>
    </w:p>
    <w:p w:rsidR="00FD130B" w:rsidRPr="00D24BCF" w:rsidRDefault="00571A53" w:rsidP="00FD130B">
      <w:pPr>
        <w:pStyle w:val="Odsekzoznamu"/>
        <w:ind w:left="425"/>
        <w:contextualSpacing w:val="0"/>
        <w:jc w:val="both"/>
        <w:rPr>
          <w:rFonts w:ascii="Arial" w:hAnsi="Arial" w:cs="Arial"/>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3735B2" w:rsidRDefault="00FD130B" w:rsidP="00D24BCF">
      <w:pPr>
        <w:pStyle w:val="Odsekzoznamu"/>
        <w:numPr>
          <w:ilvl w:val="0"/>
          <w:numId w:val="4"/>
        </w:numPr>
        <w:spacing w:line="288" w:lineRule="auto"/>
        <w:ind w:left="425" w:hanging="283"/>
        <w:jc w:val="both"/>
        <w:rPr>
          <w:rFonts w:ascii="Arial" w:hAnsi="Arial" w:cs="Arial"/>
          <w:b/>
        </w:rPr>
      </w:pPr>
      <w:r>
        <w:rPr>
          <w:rFonts w:ascii="Arial" w:hAnsi="Arial" w:cs="Arial"/>
          <w:i/>
        </w:rPr>
        <w:t>calibration</w:t>
      </w:r>
      <w:r w:rsidRPr="0036708D">
        <w:rPr>
          <w:rFonts w:ascii="Arial" w:hAnsi="Arial" w:cs="Arial"/>
          <w:i/>
        </w:rPr>
        <w:t xml:space="preserve"> weights</w:t>
      </w:r>
      <w:r w:rsidRPr="0036708D">
        <w:rPr>
          <w:rFonts w:ascii="Arial" w:hAnsi="Arial" w:cs="Arial"/>
        </w:rPr>
        <w:t xml:space="preserve"> – initial weights are calibrated such that they can reproduce known population totals. This step brings precision and consistence into estimates.  In case of Labour Force Survey, the calibration criteria were a demographic structure and a number of households at NUTS3 level. For the process of calibration Calif tool was used, for more information visit </w:t>
      </w:r>
    </w:p>
    <w:p w:rsidR="00FD130B" w:rsidRPr="0036708D" w:rsidRDefault="00571A53" w:rsidP="00FD130B">
      <w:pPr>
        <w:pStyle w:val="Odsekzoznamu"/>
        <w:spacing w:line="288" w:lineRule="auto"/>
        <w:ind w:left="425"/>
        <w:jc w:val="both"/>
        <w:rPr>
          <w:rFonts w:ascii="Arial" w:hAnsi="Arial" w:cs="Arial"/>
          <w:b/>
        </w:rPr>
      </w:pPr>
      <w:hyperlink r:id="rId8" w:history="1">
        <w:r w:rsidR="00FD130B" w:rsidRPr="0036708D">
          <w:rPr>
            <w:rStyle w:val="Hypertextovprepojenie"/>
            <w:rFonts w:ascii="Arial" w:hAnsi="Arial" w:cs="Arial"/>
          </w:rPr>
          <w:t>https://slovak.statistics.sk/wps/portal/ext/products/software.tools</w:t>
        </w:r>
      </w:hyperlink>
      <w:r w:rsidR="00FD130B" w:rsidRPr="0036708D">
        <w:rPr>
          <w:rFonts w:ascii="Arial" w:hAnsi="Arial" w:cs="Arial"/>
        </w:rPr>
        <w:t xml:space="preserve"> </w:t>
      </w:r>
    </w:p>
    <w:p w:rsidR="00FD130B" w:rsidRPr="0036708D" w:rsidRDefault="00FD130B" w:rsidP="00FD130B">
      <w:pPr>
        <w:jc w:val="both"/>
        <w:rPr>
          <w:rFonts w:ascii="Arial" w:hAnsi="Arial" w:cs="Arial"/>
          <w:b/>
          <w:sz w:val="22"/>
          <w:szCs w:val="22"/>
          <w:lang w:val="en-GB"/>
        </w:rPr>
      </w:pPr>
    </w:p>
    <w:p w:rsidR="00FD130B" w:rsidRPr="0036708D" w:rsidRDefault="00FD130B" w:rsidP="00FD130B">
      <w:pPr>
        <w:jc w:val="both"/>
        <w:rPr>
          <w:rFonts w:ascii="Arial" w:hAnsi="Arial" w:cs="Arial"/>
          <w:b/>
          <w:sz w:val="22"/>
          <w:szCs w:val="22"/>
          <w:lang w:val="en-GB"/>
        </w:rPr>
      </w:pPr>
      <w:r w:rsidRPr="005A62C5">
        <w:rPr>
          <w:rFonts w:ascii="Arial" w:hAnsi="Arial" w:cs="Arial"/>
          <w:b/>
          <w:sz w:val="22"/>
          <w:szCs w:val="22"/>
          <w:u w:val="single"/>
          <w:lang w:val="en-GB"/>
        </w:rPr>
        <w:t xml:space="preserve">Standard error of </w:t>
      </w:r>
      <w:r w:rsidRPr="003735B2">
        <w:rPr>
          <w:rFonts w:ascii="Arial" w:hAnsi="Arial" w:cs="Arial"/>
          <w:b/>
          <w:sz w:val="22"/>
          <w:szCs w:val="22"/>
          <w:u w:val="single"/>
          <w:lang w:val="en-GB"/>
        </w:rPr>
        <w:t>total - of the estimate of absolute indicator</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The selection of sampling units in Labour Force Survey was carried out by stratified cluster random sampling. This fact had to be taken into account in calculation of standard errors. The standard error of the estimate of the total is a square root of its variance and is calculated as</w:t>
      </w:r>
    </w:p>
    <w:p w:rsidR="00FD130B" w:rsidRPr="0036708D" w:rsidRDefault="00FD130B" w:rsidP="00FD130B">
      <w:pPr>
        <w:ind w:firstLine="708"/>
        <w:jc w:val="both"/>
        <w:rPr>
          <w:rFonts w:ascii="Arial" w:hAnsi="Arial" w:cs="Arial"/>
          <w:sz w:val="22"/>
          <w:szCs w:val="22"/>
          <w:lang w:val="en-GB"/>
        </w:rPr>
      </w:pPr>
    </w:p>
    <w:p w:rsidR="00FD130B" w:rsidRPr="00FD130B" w:rsidRDefault="00FD130B" w:rsidP="00FD130B">
      <w:pPr>
        <w:jc w:val="both"/>
        <w:rPr>
          <w:rFonts w:ascii="Arial" w:hAnsi="Arial" w:cs="Arial"/>
          <w:sz w:val="22"/>
          <w:szCs w:val="22"/>
          <w:lang w:val="en-GB"/>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Default="00FD130B" w:rsidP="00FD130B">
      <w:pPr>
        <w:jc w:val="both"/>
        <w:rPr>
          <w:rFonts w:ascii="Arial" w:hAnsi="Arial" w:cs="Arial"/>
          <w:sz w:val="22"/>
          <w:szCs w:val="22"/>
          <w:lang w:val="en-GB"/>
        </w:rPr>
      </w:pPr>
    </w:p>
    <w:p w:rsidR="00FD130B" w:rsidRDefault="00FD130B" w:rsidP="00FD130B">
      <w:pPr>
        <w:rPr>
          <w:rFonts w:ascii="Arial" w:hAnsi="Arial" w:cs="Arial"/>
          <w:sz w:val="22"/>
          <w:szCs w:val="22"/>
          <w:lang w:val="en-GB"/>
        </w:rPr>
      </w:pPr>
      <w:r w:rsidRPr="0036708D">
        <w:rPr>
          <w:rFonts w:ascii="Arial" w:hAnsi="Arial" w:cs="Arial"/>
          <w:sz w:val="22"/>
          <w:szCs w:val="22"/>
          <w:lang w:val="en-GB"/>
        </w:rPr>
        <w:t xml:space="preserve">where </w:t>
      </w:r>
      <m:oMath>
        <m:r>
          <w:rPr>
            <w:rFonts w:ascii="Cambria Math" w:hAnsi="Cambria Math"/>
            <w:lang w:val="en-GB"/>
          </w:rPr>
          <m:t>H</m:t>
        </m:r>
      </m:oMath>
      <w:r w:rsidRPr="0036708D">
        <w:rPr>
          <w:rFonts w:ascii="Arial" w:hAnsi="Arial" w:cs="Arial"/>
          <w:sz w:val="22"/>
          <w:szCs w:val="22"/>
          <w:lang w:val="en-GB"/>
        </w:rPr>
        <w:t xml:space="preserve"> denotes the number of strata,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is the number of clusters selected within the </w:t>
      </w:r>
      <m:oMath>
        <m:r>
          <w:rPr>
            <w:rFonts w:ascii="Cambria Math" w:hAnsi="Cambria Math"/>
            <w:lang w:val="en-GB"/>
          </w:rPr>
          <m:t>h</m:t>
        </m:r>
      </m:oMath>
      <w:r w:rsidRPr="0036708D">
        <w:rPr>
          <w:rFonts w:ascii="Arial" w:hAnsi="Arial" w:cs="Arial"/>
          <w:sz w:val="22"/>
          <w:szCs w:val="22"/>
          <w:lang w:val="en-GB"/>
        </w:rPr>
        <w:t xml:space="preserve">-th stratum,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36708D">
        <w:rPr>
          <w:rFonts w:ascii="Arial" w:hAnsi="Arial" w:cs="Arial"/>
          <w:sz w:val="22"/>
          <w:szCs w:val="22"/>
        </w:rPr>
        <w:t xml:space="preserve"> </w:t>
      </w:r>
      <w:r w:rsidRPr="0036708D">
        <w:rPr>
          <w:rFonts w:ascii="Arial" w:hAnsi="Arial" w:cs="Arial"/>
          <w:sz w:val="22"/>
          <w:szCs w:val="22"/>
          <w:lang w:val="en-GB"/>
        </w:rPr>
        <w:t xml:space="preserve">is the number of units selected from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-th cluster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stands for the total number of clusters in the </w:t>
      </w:r>
      <m:oMath>
        <m:r>
          <w:rPr>
            <w:rFonts w:ascii="Cambria Math" w:hAnsi="Cambria Math"/>
            <w:lang w:val="en-GB"/>
          </w:rPr>
          <m:t>h</m:t>
        </m:r>
      </m:oMath>
      <w:r w:rsidRPr="0036708D">
        <w:rPr>
          <w:rFonts w:ascii="Arial" w:hAnsi="Arial" w:cs="Arial"/>
          <w:sz w:val="22"/>
          <w:szCs w:val="22"/>
          <w:lang w:val="en-GB"/>
        </w:rPr>
        <w:t>-th</w:t>
      </w:r>
      <w:r w:rsidRPr="0036708D">
        <w:rPr>
          <w:rFonts w:ascii="Arial" w:hAnsi="Arial" w:cs="Arial"/>
          <w:sz w:val="22"/>
          <w:szCs w:val="22"/>
          <w:vertAlign w:val="superscript"/>
          <w:lang w:val="en-GB"/>
        </w:rPr>
        <w:t xml:space="preserve"> </w:t>
      </w:r>
      <w:r w:rsidRPr="0036708D">
        <w:rPr>
          <w:rFonts w:ascii="Arial" w:hAnsi="Arial" w:cs="Arial"/>
          <w:sz w:val="22"/>
          <w:szCs w:val="22"/>
          <w:lang w:val="en-GB"/>
        </w:rPr>
        <w:t xml:space="preserve"> stratum.</w:t>
      </w: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D24BCF">
      <w:pPr>
        <w:spacing w:line="288" w:lineRule="auto"/>
        <w:jc w:val="both"/>
        <w:rPr>
          <w:rFonts w:ascii="Arial" w:hAnsi="Arial"/>
          <w:sz w:val="22"/>
        </w:rPr>
      </w:pPr>
      <w:r>
        <w:rPr>
          <w:rFonts w:ascii="Arial" w:hAnsi="Arial"/>
          <w:sz w:val="22"/>
        </w:rPr>
        <w:lastRenderedPageBreak/>
        <w:t xml:space="preserve">        </w:t>
      </w:r>
      <w:r w:rsidRPr="001F7DAC">
        <w:rPr>
          <w:rFonts w:ascii="Arial" w:hAnsi="Arial"/>
          <w:sz w:val="22"/>
        </w:rPr>
        <w:t>Pri výpočte štandardných chýb odhadov mier a pomerov (miera nezamestnanosti, miera zamestnanosti, atď.) bola využitá Taylorova aproximácia/linearizácia.</w:t>
      </w:r>
    </w:p>
    <w:p w:rsidR="00D24BCF" w:rsidRDefault="00D24BCF" w:rsidP="00D24BCF">
      <w:pPr>
        <w:jc w:val="both"/>
        <w:rPr>
          <w:rFonts w:ascii="Arial" w:hAnsi="Arial" w:cs="Arial"/>
          <w:b/>
          <w:sz w:val="22"/>
          <w:szCs w:val="22"/>
          <w:u w:val="single"/>
        </w:rPr>
      </w:pPr>
    </w:p>
    <w:p w:rsidR="00D24BCF" w:rsidRPr="002607D8" w:rsidRDefault="00D24BCF" w:rsidP="00D24BCF">
      <w:pPr>
        <w:jc w:val="both"/>
        <w:rPr>
          <w:rFonts w:ascii="Arial" w:hAnsi="Arial" w:cs="Arial"/>
          <w:b/>
          <w:sz w:val="22"/>
          <w:szCs w:val="22"/>
          <w:u w:val="single"/>
        </w:rPr>
      </w:pPr>
      <w:r w:rsidRPr="002607D8">
        <w:rPr>
          <w:rFonts w:ascii="Arial" w:hAnsi="Arial" w:cs="Arial"/>
          <w:b/>
          <w:sz w:val="22"/>
          <w:szCs w:val="22"/>
          <w:u w:val="single"/>
        </w:rPr>
        <w:t>Limity spoľahlivosti</w:t>
      </w:r>
    </w:p>
    <w:p w:rsidR="00D24BCF" w:rsidRDefault="00D24BCF" w:rsidP="00D24BCF">
      <w:pPr>
        <w:pStyle w:val="Nadpis2"/>
        <w:spacing w:line="288" w:lineRule="auto"/>
        <w:rPr>
          <w:b/>
          <w:sz w:val="22"/>
        </w:rPr>
      </w:pPr>
    </w:p>
    <w:p w:rsidR="00D24BCF" w:rsidRDefault="00D24BCF" w:rsidP="00D24BCF">
      <w:pPr>
        <w:spacing w:line="288" w:lineRule="auto"/>
        <w:jc w:val="both"/>
        <w:rPr>
          <w:rFonts w:ascii="Arial" w:hAnsi="Arial" w:cs="Arial"/>
          <w:sz w:val="22"/>
          <w:szCs w:val="22"/>
        </w:rPr>
      </w:pPr>
      <w:r>
        <w:rPr>
          <w:rFonts w:ascii="Arial" w:hAnsi="Arial" w:cs="Arial"/>
        </w:rPr>
        <w:t xml:space="preserve">         </w:t>
      </w:r>
      <w:r w:rsidRPr="002607D8">
        <w:rPr>
          <w:rFonts w:ascii="Arial" w:hAnsi="Arial" w:cs="Arial"/>
          <w:sz w:val="22"/>
          <w:szCs w:val="22"/>
        </w:rPr>
        <w:t>Pre výberové zisťovanie pracovných síl boli stanovené limity pre určenie spoľahlivosti odhadov absolútnych hodnôt.</w:t>
      </w:r>
    </w:p>
    <w:p w:rsidR="00D24BCF" w:rsidRPr="002607D8" w:rsidRDefault="00D24BCF" w:rsidP="00D24BCF">
      <w:pPr>
        <w:jc w:val="both"/>
        <w:rPr>
          <w:rFonts w:ascii="Arial" w:hAnsi="Arial" w:cs="Arial"/>
          <w:sz w:val="22"/>
          <w:szCs w:val="22"/>
        </w:rPr>
      </w:pPr>
    </w:p>
    <w:p w:rsidR="00D24BCF" w:rsidRPr="002607D8" w:rsidRDefault="00D24BCF" w:rsidP="00D24BCF">
      <w:pPr>
        <w:jc w:val="both"/>
        <w:rPr>
          <w:rFonts w:ascii="Arial" w:hAnsi="Arial" w:cs="Arial"/>
          <w:sz w:val="22"/>
          <w:szCs w:val="22"/>
        </w:rPr>
      </w:pPr>
      <w:r>
        <w:rPr>
          <w:rFonts w:ascii="Arial" w:hAnsi="Arial" w:cs="Arial"/>
          <w:sz w:val="22"/>
          <w:szCs w:val="22"/>
        </w:rPr>
        <w:t xml:space="preserve">        </w:t>
      </w:r>
      <w:r w:rsidRPr="002607D8">
        <w:rPr>
          <w:rFonts w:ascii="Arial" w:hAnsi="Arial" w:cs="Arial"/>
          <w:sz w:val="22"/>
          <w:szCs w:val="22"/>
        </w:rPr>
        <w:t xml:space="preserve">Limity boli vypočítané na základe vzťahu </w:t>
      </w:r>
    </w:p>
    <w:p w:rsidR="00D24BCF" w:rsidRPr="002607D8" w:rsidRDefault="00D24BCF" w:rsidP="00D24BCF">
      <w:pPr>
        <w:jc w:val="both"/>
        <w:rPr>
          <w:rFonts w:ascii="Arial" w:hAnsi="Arial" w:cs="Arial"/>
        </w:rPr>
      </w:pPr>
    </w:p>
    <w:p w:rsidR="00D24BCF" w:rsidRPr="00D24BCF" w:rsidRDefault="00D24BCF" w:rsidP="00D24BCF">
      <w:pPr>
        <w:jc w:val="both"/>
        <w:rPr>
          <w:rFonts w:ascii="Arial" w:hAnsi="Arial" w:cs="Arial"/>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Pr="002607D8" w:rsidRDefault="00D24BCF" w:rsidP="00D24BCF">
      <w:pPr>
        <w:jc w:val="both"/>
        <w:rPr>
          <w:rFonts w:ascii="Arial" w:hAnsi="Arial" w:cs="Arial"/>
        </w:rPr>
      </w:pPr>
    </w:p>
    <w:p w:rsidR="00D24BCF" w:rsidRPr="002607D8" w:rsidRDefault="00D24BCF" w:rsidP="00D24BCF">
      <w:pPr>
        <w:spacing w:line="288" w:lineRule="auto"/>
        <w:jc w:val="both"/>
        <w:rPr>
          <w:rFonts w:ascii="Arial" w:hAnsi="Arial" w:cs="Arial"/>
          <w:sz w:val="22"/>
          <w:szCs w:val="22"/>
        </w:rPr>
      </w:pPr>
      <w:r w:rsidRPr="002607D8">
        <w:rPr>
          <w:rFonts w:ascii="Arial" w:hAnsi="Arial" w:cs="Arial"/>
          <w:sz w:val="22"/>
          <w:szCs w:val="22"/>
        </w:rPr>
        <w:t xml:space="preserve">kde </w:t>
      </w:r>
      <m:oMath>
        <m:r>
          <w:rPr>
            <w:rFonts w:ascii="Cambria Math" w:hAnsi="Cambria Math"/>
          </w:rPr>
          <m:t>N</m:t>
        </m:r>
      </m:oMath>
      <w:r w:rsidRPr="002607D8">
        <w:rPr>
          <w:rFonts w:ascii="Arial" w:hAnsi="Arial" w:cs="Arial"/>
          <w:sz w:val="22"/>
          <w:szCs w:val="22"/>
        </w:rPr>
        <w:t xml:space="preserve"> predstavuje veľkosť základného súboru, </w:t>
      </w:r>
      <m:oMath>
        <m:r>
          <w:rPr>
            <w:rFonts w:ascii="Cambria Math" w:hAnsi="Cambria Math"/>
          </w:rPr>
          <m:t>n</m:t>
        </m:r>
      </m:oMath>
      <w:r w:rsidRPr="002607D8">
        <w:rPr>
          <w:rFonts w:ascii="Arial" w:hAnsi="Arial" w:cs="Arial"/>
          <w:sz w:val="22"/>
          <w:szCs w:val="22"/>
        </w:rPr>
        <w:t xml:space="preserve"> veľkosť výberového súboru, </w:t>
      </w:r>
      <m:oMath>
        <m:r>
          <w:rPr>
            <w:rFonts w:ascii="Cambria Math" w:hAnsi="Cambria Math"/>
          </w:rPr>
          <m:t>CV</m:t>
        </m:r>
      </m:oMath>
      <w:r w:rsidRPr="002607D8">
        <w:rPr>
          <w:rFonts w:ascii="Arial" w:hAnsi="Arial" w:cs="Arial"/>
          <w:sz w:val="22"/>
          <w:szCs w:val="22"/>
        </w:rPr>
        <w:t xml:space="preserve"> hodnotu koeficientu variácie, pre ktorú sa považuje odhad za menej spoľahlivý alebo veľmi nespoľahlivý a </w:t>
      </w:r>
      <m:oMath>
        <m:r>
          <w:rPr>
            <w:rFonts w:ascii="Cambria Math" w:hAnsi="Cambria Math"/>
          </w:rPr>
          <m:t>Deff</m:t>
        </m:r>
      </m:oMath>
      <w:r w:rsidRPr="002607D8">
        <w:rPr>
          <w:rFonts w:ascii="Arial" w:hAnsi="Arial" w:cs="Arial"/>
          <w:sz w:val="22"/>
          <w:szCs w:val="22"/>
        </w:rPr>
        <w:t xml:space="preserve"> dizajn efekt, čiže podiel skutočnej variácie odhadu pre daný druh výberu (v našom prípade stratifikovaný klastrový náhodný výber) k variácii odhadu pre jednoduchý náhodný výber.</w:t>
      </w:r>
    </w:p>
    <w:p w:rsidR="00D24BCF" w:rsidRPr="002607D8" w:rsidRDefault="00D24BCF" w:rsidP="00D24BCF">
      <w:pPr>
        <w:jc w:val="both"/>
        <w:rPr>
          <w:rFonts w:ascii="Arial" w:hAnsi="Arial" w:cs="Arial"/>
        </w:rPr>
      </w:pPr>
    </w:p>
    <w:p w:rsidR="00D24BCF" w:rsidRPr="00D24BCF" w:rsidRDefault="00D24BCF" w:rsidP="00D24BCF">
      <w:pPr>
        <w:pStyle w:val="Zarkazkladnhotextu"/>
        <w:tabs>
          <w:tab w:val="left" w:pos="426"/>
        </w:tabs>
        <w:spacing w:line="276" w:lineRule="auto"/>
        <w:ind w:left="0"/>
        <w:jc w:val="both"/>
        <w:rPr>
          <w:rFonts w:ascii="Arial" w:hAnsi="Arial" w:cs="Arial"/>
          <w:b/>
          <w:sz w:val="22"/>
          <w:szCs w:val="22"/>
        </w:rPr>
      </w:pPr>
      <w:r>
        <w:rPr>
          <w:rFonts w:ascii="Arial" w:hAnsi="Arial" w:cs="Arial"/>
          <w:b/>
          <w:sz w:val="22"/>
          <w:szCs w:val="22"/>
        </w:rPr>
        <w:tab/>
      </w:r>
      <w:r w:rsidRPr="00D24BCF">
        <w:rPr>
          <w:rFonts w:ascii="Arial" w:hAnsi="Arial" w:cs="Arial"/>
          <w:b/>
          <w:sz w:val="22"/>
          <w:szCs w:val="22"/>
        </w:rPr>
        <w:t xml:space="preserve">Odhady absolútnych ukazovateľov, ktoré sú menšie ako </w:t>
      </w:r>
      <w:r w:rsidR="00BA4DD3">
        <w:rPr>
          <w:rFonts w:ascii="Arial" w:hAnsi="Arial" w:cs="Arial"/>
          <w:b/>
          <w:sz w:val="22"/>
          <w:szCs w:val="22"/>
        </w:rPr>
        <w:t>1</w:t>
      </w:r>
      <w:r w:rsidR="00A7229E">
        <w:rPr>
          <w:rFonts w:ascii="Arial" w:hAnsi="Arial" w:cs="Arial"/>
          <w:b/>
          <w:sz w:val="22"/>
          <w:szCs w:val="22"/>
        </w:rPr>
        <w:t>1</w:t>
      </w:r>
      <w:r w:rsidRPr="00D24BCF">
        <w:rPr>
          <w:rFonts w:ascii="Arial" w:hAnsi="Arial" w:cs="Arial"/>
          <w:b/>
          <w:sz w:val="22"/>
          <w:szCs w:val="22"/>
        </w:rPr>
        <w:t xml:space="preserve"> tis. sú považované za menej spoľahlivé, keďže ich koeficient variácie je v priemere väčší ako 20</w:t>
      </w:r>
      <w:r w:rsidR="00DA3C8B">
        <w:rPr>
          <w:rFonts w:ascii="Arial" w:hAnsi="Arial" w:cs="Arial"/>
          <w:b/>
          <w:sz w:val="22"/>
          <w:szCs w:val="22"/>
        </w:rPr>
        <w:t> </w:t>
      </w:r>
      <w:r w:rsidRPr="00D24BCF">
        <w:rPr>
          <w:rFonts w:ascii="Arial" w:hAnsi="Arial" w:cs="Arial"/>
          <w:b/>
          <w:sz w:val="22"/>
          <w:szCs w:val="22"/>
        </w:rPr>
        <w:t xml:space="preserve">% a hodnoty menšie ako </w:t>
      </w:r>
      <w:r w:rsidR="00BA4DD3">
        <w:rPr>
          <w:rFonts w:ascii="Arial" w:hAnsi="Arial" w:cs="Arial"/>
          <w:b/>
          <w:sz w:val="22"/>
          <w:szCs w:val="22"/>
        </w:rPr>
        <w:t>7</w:t>
      </w:r>
      <w:r w:rsidR="00A7229E">
        <w:rPr>
          <w:rFonts w:ascii="Arial" w:hAnsi="Arial" w:cs="Arial"/>
          <w:b/>
          <w:sz w:val="22"/>
          <w:szCs w:val="22"/>
        </w:rPr>
        <w:t xml:space="preserve"> </w:t>
      </w:r>
      <w:r w:rsidRPr="00D24BCF">
        <w:rPr>
          <w:rFonts w:ascii="Arial" w:hAnsi="Arial" w:cs="Arial"/>
          <w:b/>
          <w:sz w:val="22"/>
          <w:szCs w:val="22"/>
        </w:rPr>
        <w:t>tis. sú veľmi nespoľahlivé, keďže ich koeficient variácie je v priemere väčší  ako 25</w:t>
      </w:r>
      <w:r w:rsidR="00DA3C8B">
        <w:rPr>
          <w:rFonts w:ascii="Arial" w:hAnsi="Arial" w:cs="Arial"/>
          <w:b/>
          <w:sz w:val="22"/>
          <w:szCs w:val="22"/>
        </w:rPr>
        <w:t> </w:t>
      </w:r>
      <w:r w:rsidRPr="00D24BCF">
        <w:rPr>
          <w:rFonts w:ascii="Arial" w:hAnsi="Arial" w:cs="Arial"/>
          <w:b/>
          <w:sz w:val="22"/>
          <w:szCs w:val="22"/>
        </w:rPr>
        <w:t>%.</w:t>
      </w:r>
    </w:p>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Pr="0036708D"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Taylor linearization method was used for calculation of standard errors of rates or ratios (rate of unemployment, rate of employment etc.).</w:t>
      </w:r>
    </w:p>
    <w:p w:rsidR="00D24BCF" w:rsidRDefault="00D24BCF" w:rsidP="00D24BCF">
      <w:pPr>
        <w:jc w:val="both"/>
        <w:rPr>
          <w:rFonts w:ascii="Arial" w:hAnsi="Arial" w:cs="Arial"/>
          <w:b/>
          <w:i/>
          <w:sz w:val="22"/>
          <w:szCs w:val="22"/>
          <w:u w:val="single"/>
          <w:lang w:val="en-GB"/>
        </w:rPr>
      </w:pPr>
    </w:p>
    <w:p w:rsidR="00D24BCF" w:rsidRPr="00F14FA7" w:rsidRDefault="00D24BCF" w:rsidP="00D24BCF">
      <w:pPr>
        <w:jc w:val="both"/>
        <w:rPr>
          <w:rFonts w:ascii="Arial" w:hAnsi="Arial" w:cs="Arial"/>
          <w:b/>
          <w:sz w:val="22"/>
          <w:szCs w:val="22"/>
          <w:u w:val="single"/>
          <w:lang w:val="en-GB"/>
        </w:rPr>
      </w:pPr>
      <w:r w:rsidRPr="00F14FA7">
        <w:rPr>
          <w:rFonts w:ascii="Arial" w:hAnsi="Arial" w:cs="Arial"/>
          <w:b/>
          <w:sz w:val="22"/>
          <w:szCs w:val="22"/>
          <w:u w:val="single"/>
          <w:lang w:val="en-GB"/>
        </w:rPr>
        <w:t>Reliability limits</w:t>
      </w:r>
    </w:p>
    <w:p w:rsidR="00D24BCF" w:rsidRPr="00556040" w:rsidRDefault="00D24BCF" w:rsidP="00D24BCF">
      <w:pPr>
        <w:jc w:val="both"/>
        <w:rPr>
          <w:rFonts w:ascii="Arial" w:hAnsi="Arial" w:cs="Arial"/>
          <w:sz w:val="22"/>
          <w:szCs w:val="22"/>
        </w:rPr>
      </w:pPr>
    </w:p>
    <w:p w:rsidR="00D24BCF" w:rsidRPr="00556040"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556040">
        <w:rPr>
          <w:rFonts w:ascii="Arial" w:hAnsi="Arial" w:cs="Arial"/>
          <w:sz w:val="22"/>
          <w:szCs w:val="22"/>
          <w:lang w:val="en-GB"/>
        </w:rPr>
        <w:t>For Labour Force Survey reliability limits for estimates of absolute values were set.</w:t>
      </w: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They were calculated by</w:t>
      </w:r>
    </w:p>
    <w:p w:rsidR="00D24BCF" w:rsidRPr="00556040" w:rsidRDefault="00D24BCF" w:rsidP="00D24BCF">
      <w:pPr>
        <w:jc w:val="both"/>
        <w:rPr>
          <w:rFonts w:ascii="Arial" w:hAnsi="Arial" w:cs="Arial"/>
          <w:sz w:val="22"/>
          <w:szCs w:val="22"/>
          <w:lang w:val="en-GB"/>
        </w:rPr>
      </w:pPr>
    </w:p>
    <w:p w:rsidR="00D24BCF" w:rsidRPr="00D24BCF" w:rsidRDefault="00D24BCF" w:rsidP="00D24BCF">
      <w:pPr>
        <w:jc w:val="both"/>
        <w:rPr>
          <w:rFonts w:ascii="Arial" w:hAnsi="Arial" w:cs="Arial"/>
          <w:sz w:val="22"/>
          <w:szCs w:val="22"/>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Default="00D24BCF" w:rsidP="00D24BCF">
      <w:pPr>
        <w:jc w:val="both"/>
        <w:rPr>
          <w:rFonts w:ascii="Arial" w:hAnsi="Arial" w:cs="Arial"/>
          <w:sz w:val="22"/>
          <w:szCs w:val="22"/>
          <w:lang w:val="en-GB"/>
        </w:rPr>
      </w:pP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 xml:space="preserve">where </w:t>
      </w:r>
      <m:oMath>
        <m:r>
          <w:rPr>
            <w:rFonts w:ascii="Cambria Math" w:hAnsi="Cambria Math"/>
            <w:lang w:val="en-GB"/>
          </w:rPr>
          <m:t>N</m:t>
        </m:r>
      </m:oMath>
      <w:r w:rsidRPr="00556040">
        <w:rPr>
          <w:rFonts w:ascii="Arial" w:hAnsi="Arial" w:cs="Arial"/>
          <w:sz w:val="22"/>
          <w:szCs w:val="22"/>
          <w:lang w:val="en-GB"/>
        </w:rPr>
        <w:t xml:space="preserve"> denotes the size of the population, </w:t>
      </w:r>
      <m:oMath>
        <m:r>
          <w:rPr>
            <w:rFonts w:ascii="Cambria Math" w:hAnsi="Cambria Math"/>
            <w:lang w:val="en-GB"/>
          </w:rPr>
          <m:t>n</m:t>
        </m:r>
      </m:oMath>
      <w:r w:rsidRPr="00556040">
        <w:rPr>
          <w:rFonts w:ascii="Arial" w:hAnsi="Arial" w:cs="Arial"/>
          <w:sz w:val="22"/>
          <w:szCs w:val="22"/>
          <w:lang w:val="en-GB"/>
        </w:rPr>
        <w:t xml:space="preserve"> is the size of the sample, </w:t>
      </w:r>
      <m:oMath>
        <m:r>
          <w:rPr>
            <w:rFonts w:ascii="Cambria Math" w:hAnsi="Cambria Math"/>
            <w:lang w:val="en-GB"/>
          </w:rPr>
          <m:t>CV</m:t>
        </m:r>
      </m:oMath>
      <w:r w:rsidRPr="00556040">
        <w:rPr>
          <w:rFonts w:ascii="Arial" w:hAnsi="Arial" w:cs="Arial"/>
          <w:sz w:val="22"/>
          <w:szCs w:val="22"/>
          <w:lang w:val="en-GB"/>
        </w:rPr>
        <w:t xml:space="preserve"> is a value of coefficient of variation for which the estimate is considered less reliable or very unreliable and </w:t>
      </w:r>
      <m:oMath>
        <m:r>
          <w:rPr>
            <w:rFonts w:ascii="Cambria Math" w:hAnsi="Cambria Math"/>
            <w:lang w:val="en-GB"/>
          </w:rPr>
          <m:t>Deff</m:t>
        </m:r>
      </m:oMath>
      <w:r w:rsidRPr="00556040">
        <w:rPr>
          <w:rFonts w:ascii="Arial" w:hAnsi="Arial" w:cs="Arial"/>
          <w:sz w:val="22"/>
          <w:szCs w:val="22"/>
          <w:lang w:val="en-GB"/>
        </w:rPr>
        <w:t xml:space="preserve"> represents the ratio of the actual variance of the estimate for a given type of sample (in our case stratified cluster random sample) to the variance of the estimate for a simple random sample.</w:t>
      </w:r>
    </w:p>
    <w:p w:rsidR="00D24BCF" w:rsidRPr="00556040" w:rsidRDefault="00D24BCF" w:rsidP="00D24BCF">
      <w:pPr>
        <w:spacing w:line="288" w:lineRule="auto"/>
        <w:jc w:val="both"/>
        <w:rPr>
          <w:rFonts w:ascii="Arial" w:hAnsi="Arial" w:cs="Arial"/>
          <w:sz w:val="22"/>
          <w:szCs w:val="22"/>
          <w:lang w:val="en-GB"/>
        </w:rPr>
      </w:pPr>
    </w:p>
    <w:p w:rsidR="00D24BCF" w:rsidRPr="001B35CB" w:rsidRDefault="00D24BCF" w:rsidP="00D24BCF">
      <w:pPr>
        <w:spacing w:line="276" w:lineRule="auto"/>
        <w:ind w:firstLine="567"/>
        <w:jc w:val="both"/>
        <w:rPr>
          <w:rFonts w:ascii="Arial" w:hAnsi="Arial" w:cs="Arial"/>
          <w:b/>
          <w:sz w:val="22"/>
          <w:szCs w:val="22"/>
        </w:rPr>
      </w:pPr>
      <w:r w:rsidRPr="001B35CB">
        <w:rPr>
          <w:rFonts w:ascii="Arial" w:hAnsi="Arial" w:cs="Arial"/>
          <w:b/>
          <w:sz w:val="22"/>
          <w:szCs w:val="22"/>
          <w:lang w:val="en-GB"/>
        </w:rPr>
        <w:t xml:space="preserve">Estimates of absolute indicators that are less than </w:t>
      </w:r>
      <w:r w:rsidR="00BA4DD3">
        <w:rPr>
          <w:rFonts w:ascii="Arial" w:hAnsi="Arial" w:cs="Arial"/>
          <w:b/>
          <w:sz w:val="22"/>
          <w:szCs w:val="22"/>
          <w:lang w:val="en-GB"/>
        </w:rPr>
        <w:t>1</w:t>
      </w:r>
      <w:r w:rsidR="00A7229E">
        <w:rPr>
          <w:rFonts w:ascii="Arial" w:hAnsi="Arial" w:cs="Arial"/>
          <w:b/>
          <w:sz w:val="22"/>
          <w:szCs w:val="22"/>
          <w:lang w:val="en-GB"/>
        </w:rPr>
        <w:t>1</w:t>
      </w:r>
      <w:r w:rsidRPr="001B35CB">
        <w:rPr>
          <w:rFonts w:ascii="Arial" w:hAnsi="Arial" w:cs="Arial"/>
          <w:b/>
          <w:sz w:val="22"/>
          <w:szCs w:val="22"/>
          <w:lang w:val="en-GB"/>
        </w:rPr>
        <w:t xml:space="preserve"> thousand are considered less reliable as their coefficient of variation is on average greater than 20</w:t>
      </w:r>
      <w:r w:rsidR="00DA3C8B">
        <w:rPr>
          <w:rFonts w:ascii="Arial" w:hAnsi="Arial" w:cs="Arial"/>
          <w:b/>
          <w:sz w:val="22"/>
          <w:szCs w:val="22"/>
          <w:lang w:val="en-GB"/>
        </w:rPr>
        <w:t> </w:t>
      </w:r>
      <w:r w:rsidRPr="001B35CB">
        <w:rPr>
          <w:rFonts w:ascii="Arial" w:hAnsi="Arial" w:cs="Arial"/>
          <w:b/>
          <w:sz w:val="22"/>
          <w:szCs w:val="22"/>
          <w:lang w:val="en-GB"/>
        </w:rPr>
        <w:t xml:space="preserve">% and values less than </w:t>
      </w:r>
      <w:r w:rsidR="00BA4DD3">
        <w:rPr>
          <w:rFonts w:ascii="Arial" w:hAnsi="Arial" w:cs="Arial"/>
          <w:b/>
          <w:sz w:val="22"/>
          <w:szCs w:val="22"/>
          <w:lang w:val="en-GB"/>
        </w:rPr>
        <w:t>7</w:t>
      </w:r>
      <w:r w:rsidRPr="001B35CB">
        <w:rPr>
          <w:rFonts w:ascii="Arial" w:hAnsi="Arial" w:cs="Arial"/>
          <w:b/>
          <w:sz w:val="22"/>
          <w:szCs w:val="22"/>
          <w:lang w:val="en-GB"/>
        </w:rPr>
        <w:t xml:space="preserve"> thousand are very unreliable, due to </w:t>
      </w:r>
      <w:r>
        <w:rPr>
          <w:rFonts w:ascii="Arial" w:hAnsi="Arial" w:cs="Arial"/>
          <w:b/>
          <w:sz w:val="22"/>
          <w:szCs w:val="22"/>
          <w:lang w:val="en-GB"/>
        </w:rPr>
        <w:t xml:space="preserve">the fact that </w:t>
      </w:r>
      <w:r w:rsidRPr="001B35CB">
        <w:rPr>
          <w:rFonts w:ascii="Arial" w:hAnsi="Arial" w:cs="Arial"/>
          <w:b/>
          <w:sz w:val="22"/>
          <w:szCs w:val="22"/>
          <w:lang w:val="en-GB"/>
        </w:rPr>
        <w:t xml:space="preserve">their coefficient of variation </w:t>
      </w:r>
      <w:r>
        <w:rPr>
          <w:rFonts w:ascii="Arial" w:hAnsi="Arial" w:cs="Arial"/>
          <w:b/>
          <w:sz w:val="22"/>
          <w:szCs w:val="22"/>
          <w:lang w:val="en-GB"/>
        </w:rPr>
        <w:t xml:space="preserve">is </w:t>
      </w:r>
      <w:r w:rsidRPr="001B35CB">
        <w:rPr>
          <w:rFonts w:ascii="Arial" w:hAnsi="Arial" w:cs="Arial"/>
          <w:b/>
          <w:sz w:val="22"/>
          <w:szCs w:val="22"/>
          <w:lang w:val="en-GB"/>
        </w:rPr>
        <w:t>greater than 25</w:t>
      </w:r>
      <w:r w:rsidR="00DA3C8B">
        <w:rPr>
          <w:rFonts w:ascii="Arial" w:hAnsi="Arial" w:cs="Arial"/>
          <w:b/>
          <w:sz w:val="22"/>
          <w:szCs w:val="22"/>
          <w:lang w:val="en-GB"/>
        </w:rPr>
        <w:t> </w:t>
      </w:r>
      <w:r w:rsidRPr="001B35CB">
        <w:rPr>
          <w:rFonts w:ascii="Arial" w:hAnsi="Arial" w:cs="Arial"/>
          <w:b/>
          <w:sz w:val="22"/>
          <w:szCs w:val="22"/>
          <w:lang w:val="en-GB"/>
        </w:rPr>
        <w:t>% on average.</w:t>
      </w:r>
    </w:p>
    <w:p w:rsidR="00D24BCF" w:rsidRDefault="00D24BCF" w:rsidP="00FD130B"/>
    <w:sectPr w:rsidR="00D24BCF" w:rsidSect="00FD130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0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A53" w:rsidRDefault="00571A53" w:rsidP="00FD130B">
      <w:r>
        <w:separator/>
      </w:r>
    </w:p>
  </w:endnote>
  <w:endnote w:type="continuationSeparator" w:id="0">
    <w:p w:rsidR="00571A53" w:rsidRDefault="00571A53" w:rsidP="00FD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77155982"/>
      <w:docPartObj>
        <w:docPartGallery w:val="Page Numbers (Bottom of Page)"/>
        <w:docPartUnique/>
      </w:docPartObj>
    </w:sdtPr>
    <w:sdtEndPr/>
    <w:sdtContent>
      <w:p w:rsidR="00FD130B" w:rsidRPr="009C6999" w:rsidRDefault="00FD130B">
        <w:pPr>
          <w:pStyle w:val="Pta"/>
          <w:jc w:val="center"/>
          <w:rPr>
            <w:rFonts w:ascii="Arial" w:hAnsi="Arial" w:cs="Arial"/>
          </w:rP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80398F">
          <w:rPr>
            <w:rFonts w:ascii="Arial" w:hAnsi="Arial" w:cs="Arial"/>
            <w:noProof/>
          </w:rPr>
          <w:t>108</w:t>
        </w:r>
        <w:r w:rsidRPr="009C6999">
          <w:rPr>
            <w:rFonts w:ascii="Arial" w:hAnsi="Arial" w:cs="Arial"/>
          </w:rPr>
          <w:fldChar w:fldCharType="end"/>
        </w:r>
      </w:p>
    </w:sdtContent>
  </w:sdt>
  <w:p w:rsidR="00FD130B" w:rsidRDefault="00FD130B">
    <w:pPr>
      <w:pStyle w:val="Pt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897145"/>
      <w:docPartObj>
        <w:docPartGallery w:val="Page Numbers (Bottom of Page)"/>
        <w:docPartUnique/>
      </w:docPartObj>
    </w:sdtPr>
    <w:sdtEndPr/>
    <w:sdtContent>
      <w:p w:rsidR="00FD130B" w:rsidRDefault="00FD130B" w:rsidP="00FD130B">
        <w:pPr>
          <w:pStyle w:val="Pta"/>
          <w:jc w:val="cente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80398F">
          <w:rPr>
            <w:rFonts w:ascii="Arial" w:hAnsi="Arial" w:cs="Arial"/>
            <w:noProof/>
          </w:rPr>
          <w:t>111</w:t>
        </w:r>
        <w:r w:rsidRPr="009C6999">
          <w:rPr>
            <w:rFonts w:ascii="Arial" w:hAnsi="Arial" w:cs="Arial"/>
          </w:rPr>
          <w:fldChar w:fldCharType="end"/>
        </w:r>
      </w:p>
    </w:sdtContent>
  </w:sdt>
  <w:p w:rsidR="00FD130B" w:rsidRDefault="00FD130B">
    <w:pPr>
      <w:pStyle w:val="Pt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999" w:rsidRDefault="009C6999">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A53" w:rsidRDefault="00571A53" w:rsidP="00FD130B">
      <w:r>
        <w:separator/>
      </w:r>
    </w:p>
  </w:footnote>
  <w:footnote w:type="continuationSeparator" w:id="0">
    <w:p w:rsidR="00571A53" w:rsidRDefault="00571A53" w:rsidP="00FD13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pPr>
      <w:pStyle w:val="Hlavika"/>
    </w:pPr>
    <w:r>
      <w:rPr>
        <w:rFonts w:ascii="Arial" w:hAnsi="Arial" w:cs="Arial"/>
        <w:i/>
      </w:rPr>
      <w:t xml:space="preserve">VZPS - </w:t>
    </w:r>
    <w:r w:rsidR="00A7229E">
      <w:rPr>
        <w:rFonts w:ascii="Arial" w:hAnsi="Arial" w:cs="Arial"/>
        <w:i/>
      </w:rPr>
      <w:t>2</w:t>
    </w:r>
    <w:r>
      <w:rPr>
        <w:rFonts w:ascii="Arial" w:hAnsi="Arial" w:cs="Arial"/>
        <w:i/>
      </w:rPr>
      <w:t>. štvrťrok 202</w:t>
    </w:r>
    <w:r w:rsidR="001243AA">
      <w:rPr>
        <w:rFonts w:ascii="Arial" w:hAnsi="Arial" w:cs="Arial"/>
        <w:i/>
      </w:rP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rsidP="00D24BCF">
    <w:pPr>
      <w:pStyle w:val="Hlavika"/>
      <w:jc w:val="right"/>
    </w:pPr>
    <w:r>
      <w:rPr>
        <w:rFonts w:ascii="Arial" w:hAnsi="Arial" w:cs="Arial"/>
        <w:i/>
      </w:rPr>
      <w:t xml:space="preserve">LFS </w:t>
    </w:r>
    <w:r w:rsidR="00A7229E">
      <w:rPr>
        <w:rFonts w:ascii="Arial" w:hAnsi="Arial" w:cs="Arial"/>
        <w:i/>
      </w:rPr>
      <w:t>-</w:t>
    </w:r>
    <w:r>
      <w:rPr>
        <w:rFonts w:ascii="Arial" w:hAnsi="Arial" w:cs="Arial"/>
        <w:i/>
      </w:rPr>
      <w:t xml:space="preserve"> </w:t>
    </w:r>
    <w:r w:rsidR="00A7229E">
      <w:rPr>
        <w:rFonts w:ascii="Arial" w:hAnsi="Arial" w:cs="Arial"/>
        <w:i/>
      </w:rPr>
      <w:t>2</w:t>
    </w:r>
    <w:r w:rsidR="00A7229E">
      <w:rPr>
        <w:rFonts w:ascii="Arial" w:hAnsi="Arial" w:cs="Arial"/>
        <w:i/>
        <w:vertAlign w:val="superscript"/>
      </w:rPr>
      <w:t>nd</w:t>
    </w:r>
    <w:r>
      <w:rPr>
        <w:rFonts w:ascii="Arial" w:hAnsi="Arial" w:cs="Arial"/>
        <w:i/>
        <w:vertAlign w:val="superscript"/>
      </w:rPr>
      <w:t xml:space="preserve"> </w:t>
    </w:r>
    <w:r>
      <w:rPr>
        <w:rFonts w:ascii="Arial" w:hAnsi="Arial" w:cs="Arial"/>
        <w:i/>
      </w:rPr>
      <w:t>quarter 202</w:t>
    </w:r>
    <w:r w:rsidR="001243AA">
      <w:rPr>
        <w:rFonts w:ascii="Arial" w:hAnsi="Arial" w:cs="Arial"/>
        <w:i/>
      </w:rPr>
      <w:t>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999" w:rsidRDefault="009C6999">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1352"/>
    <w:multiLevelType w:val="hybridMultilevel"/>
    <w:tmpl w:val="2634EE4A"/>
    <w:lvl w:ilvl="0" w:tplc="EDA8F12E">
      <w:start w:val="1"/>
      <w:numFmt w:val="decimal"/>
      <w:lvlText w:val="%1."/>
      <w:lvlJc w:val="left"/>
      <w:pPr>
        <w:ind w:left="720" w:hanging="360"/>
      </w:pPr>
      <w:rPr>
        <w:rFonts w:hint="default"/>
        <w: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5903E1"/>
    <w:multiLevelType w:val="hybridMultilevel"/>
    <w:tmpl w:val="E87EC162"/>
    <w:lvl w:ilvl="0" w:tplc="66A0754A">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75D01080"/>
    <w:multiLevelType w:val="hybridMultilevel"/>
    <w:tmpl w:val="47143570"/>
    <w:lvl w:ilvl="0" w:tplc="D7E897E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785F1FE5"/>
    <w:multiLevelType w:val="hybridMultilevel"/>
    <w:tmpl w:val="FE3AB13C"/>
    <w:lvl w:ilvl="0" w:tplc="872C4D3A">
      <w:start w:val="1"/>
      <w:numFmt w:val="decimal"/>
      <w:lvlText w:val="%1."/>
      <w:lvlJc w:val="left"/>
      <w:pPr>
        <w:ind w:left="785" w:hanging="360"/>
      </w:pPr>
      <w:rPr>
        <w:rFonts w:hint="default"/>
        <w:i/>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0B"/>
    <w:rsid w:val="001243AA"/>
    <w:rsid w:val="001F4B33"/>
    <w:rsid w:val="00460F9C"/>
    <w:rsid w:val="00571A53"/>
    <w:rsid w:val="007D16C7"/>
    <w:rsid w:val="0080398F"/>
    <w:rsid w:val="00865D0F"/>
    <w:rsid w:val="009C6999"/>
    <w:rsid w:val="009F77A1"/>
    <w:rsid w:val="00A7229E"/>
    <w:rsid w:val="00BA4DD3"/>
    <w:rsid w:val="00C170C9"/>
    <w:rsid w:val="00C6107D"/>
    <w:rsid w:val="00D24BCF"/>
    <w:rsid w:val="00D515F9"/>
    <w:rsid w:val="00DA3C8B"/>
    <w:rsid w:val="00FD13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E36E47-464E-4D00-A914-0354BBA5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D130B"/>
    <w:pPr>
      <w:widowControl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FD130B"/>
    <w:pPr>
      <w:keepNext/>
      <w:jc w:val="center"/>
      <w:outlineLvl w:val="0"/>
    </w:pPr>
    <w:rPr>
      <w:rFonts w:ascii="Arial" w:hAnsi="Arial"/>
      <w:b/>
      <w:color w:val="000000"/>
    </w:rPr>
  </w:style>
  <w:style w:type="paragraph" w:styleId="Nadpis2">
    <w:name w:val="heading 2"/>
    <w:basedOn w:val="Normlny"/>
    <w:next w:val="Normlny"/>
    <w:link w:val="Nadpis2Char"/>
    <w:uiPriority w:val="9"/>
    <w:semiHidden/>
    <w:unhideWhenUsed/>
    <w:qFormat/>
    <w:rsid w:val="00D24BC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D130B"/>
    <w:rPr>
      <w:rFonts w:ascii="Arial" w:eastAsia="Times New Roman" w:hAnsi="Arial" w:cs="Times New Roman"/>
      <w:b/>
      <w:color w:val="000000"/>
      <w:sz w:val="20"/>
      <w:szCs w:val="20"/>
      <w:lang w:eastAsia="cs-CZ"/>
    </w:rPr>
  </w:style>
  <w:style w:type="paragraph" w:styleId="Zkladntext">
    <w:name w:val="Body Text"/>
    <w:basedOn w:val="Normlny"/>
    <w:link w:val="ZkladntextChar"/>
    <w:semiHidden/>
    <w:rsid w:val="00FD130B"/>
    <w:pPr>
      <w:spacing w:after="120"/>
    </w:pPr>
  </w:style>
  <w:style w:type="character" w:customStyle="1" w:styleId="ZkladntextChar">
    <w:name w:val="Základný text Char"/>
    <w:basedOn w:val="Predvolenpsmoodseku"/>
    <w:link w:val="Zkladntext"/>
    <w:semiHidden/>
    <w:rsid w:val="00FD130B"/>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FD130B"/>
    <w:pPr>
      <w:widowControl/>
      <w:spacing w:after="160" w:line="259" w:lineRule="auto"/>
      <w:ind w:left="720"/>
      <w:contextualSpacing/>
    </w:pPr>
    <w:rPr>
      <w:rFonts w:ascii="Calibri" w:eastAsia="Calibri" w:hAnsi="Calibri"/>
      <w:sz w:val="22"/>
      <w:szCs w:val="22"/>
      <w:lang w:eastAsia="en-US"/>
    </w:rPr>
  </w:style>
  <w:style w:type="character" w:styleId="Hypertextovprepojenie">
    <w:name w:val="Hyperlink"/>
    <w:uiPriority w:val="99"/>
    <w:unhideWhenUsed/>
    <w:rsid w:val="00FD130B"/>
    <w:rPr>
      <w:color w:val="0563C1"/>
      <w:u w:val="single"/>
    </w:rPr>
  </w:style>
  <w:style w:type="paragraph" w:styleId="Hlavika">
    <w:name w:val="header"/>
    <w:basedOn w:val="Normlny"/>
    <w:link w:val="HlavikaChar"/>
    <w:unhideWhenUsed/>
    <w:rsid w:val="00FD130B"/>
    <w:pPr>
      <w:tabs>
        <w:tab w:val="center" w:pos="4536"/>
        <w:tab w:val="right" w:pos="9072"/>
      </w:tabs>
    </w:pPr>
  </w:style>
  <w:style w:type="character" w:customStyle="1" w:styleId="HlavikaChar">
    <w:name w:val="Hlavička Char"/>
    <w:basedOn w:val="Predvolenpsmoodseku"/>
    <w:link w:val="Hlavika"/>
    <w:uiPriority w:val="99"/>
    <w:rsid w:val="00FD130B"/>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FD130B"/>
    <w:pPr>
      <w:tabs>
        <w:tab w:val="center" w:pos="4536"/>
        <w:tab w:val="right" w:pos="9072"/>
      </w:tabs>
    </w:pPr>
  </w:style>
  <w:style w:type="character" w:customStyle="1" w:styleId="PtaChar">
    <w:name w:val="Päta Char"/>
    <w:basedOn w:val="Predvolenpsmoodseku"/>
    <w:link w:val="Pta"/>
    <w:uiPriority w:val="99"/>
    <w:rsid w:val="00FD130B"/>
    <w:rPr>
      <w:rFonts w:ascii="Times New Roman" w:eastAsia="Times New Roman" w:hAnsi="Times New Roman" w:cs="Times New Roman"/>
      <w:sz w:val="20"/>
      <w:szCs w:val="20"/>
      <w:lang w:eastAsia="cs-CZ"/>
    </w:rPr>
  </w:style>
  <w:style w:type="character" w:customStyle="1" w:styleId="Nadpis2Char">
    <w:name w:val="Nadpis 2 Char"/>
    <w:basedOn w:val="Predvolenpsmoodseku"/>
    <w:link w:val="Nadpis2"/>
    <w:uiPriority w:val="9"/>
    <w:semiHidden/>
    <w:rsid w:val="00D24BCF"/>
    <w:rPr>
      <w:rFonts w:asciiTheme="majorHAnsi" w:eastAsiaTheme="majorEastAsia" w:hAnsiTheme="majorHAnsi" w:cstheme="majorBidi"/>
      <w:color w:val="2E74B5" w:themeColor="accent1" w:themeShade="BF"/>
      <w:sz w:val="26"/>
      <w:szCs w:val="26"/>
      <w:lang w:eastAsia="cs-CZ"/>
    </w:rPr>
  </w:style>
  <w:style w:type="paragraph" w:styleId="Zarkazkladnhotextu">
    <w:name w:val="Body Text Indent"/>
    <w:basedOn w:val="Normlny"/>
    <w:link w:val="ZarkazkladnhotextuChar"/>
    <w:uiPriority w:val="99"/>
    <w:semiHidden/>
    <w:unhideWhenUsed/>
    <w:rsid w:val="00D24BCF"/>
    <w:pPr>
      <w:spacing w:after="120"/>
      <w:ind w:left="283"/>
    </w:pPr>
  </w:style>
  <w:style w:type="character" w:customStyle="1" w:styleId="ZarkazkladnhotextuChar">
    <w:name w:val="Zarážka základného textu Char"/>
    <w:basedOn w:val="Predvolenpsmoodseku"/>
    <w:link w:val="Zarkazkladnhotextu"/>
    <w:uiPriority w:val="99"/>
    <w:semiHidden/>
    <w:rsid w:val="00D24BCF"/>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ovak.statistics.sk/wps/portal/ext/products/software.tool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lovak.statistics.sk/wps/portal/ext/products/software.tool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5947</Characters>
  <Application>Microsoft Office Word</Application>
  <DocSecurity>0</DocSecurity>
  <Lines>49</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2</cp:revision>
  <dcterms:created xsi:type="dcterms:W3CDTF">2023-10-10T10:39:00Z</dcterms:created>
  <dcterms:modified xsi:type="dcterms:W3CDTF">2023-10-10T10:39:00Z</dcterms:modified>
</cp:coreProperties>
</file>