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9CD" w:rsidRPr="00DB69CD" w:rsidRDefault="00DB69CD" w:rsidP="00DB69CD">
      <w:pPr>
        <w:pStyle w:val="Nadpis1"/>
        <w:jc w:val="left"/>
        <w:rPr>
          <w:rFonts w:ascii="Arial" w:hAnsi="Arial" w:cs="Arial"/>
          <w:b/>
          <w:color w:val="F4812A"/>
          <w:sz w:val="28"/>
        </w:rPr>
      </w:pPr>
      <w:bookmarkStart w:id="0" w:name="_Toc227759806"/>
      <w:r w:rsidRPr="00DB69CD">
        <w:rPr>
          <w:rFonts w:ascii="Arial" w:hAnsi="Arial" w:cs="Arial"/>
          <w:b/>
          <w:color w:val="F4812A"/>
          <w:sz w:val="28"/>
        </w:rPr>
        <w:t>Metodické vysvetlivky</w:t>
      </w:r>
      <w:bookmarkStart w:id="1" w:name="_GoBack"/>
      <w:bookmarkEnd w:id="0"/>
      <w:bookmarkEnd w:id="1"/>
    </w:p>
    <w:p w:rsidR="00DB69CD" w:rsidRPr="006850A1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sz w:val="20"/>
          <w:szCs w:val="20"/>
        </w:rPr>
        <w:t>Údaje o</w:t>
      </w:r>
      <w:r>
        <w:rPr>
          <w:rFonts w:ascii="Arial" w:hAnsi="Arial" w:cs="Arial"/>
          <w:sz w:val="20"/>
          <w:szCs w:val="20"/>
        </w:rPr>
        <w:t> </w:t>
      </w:r>
      <w:r w:rsidRPr="006850A1">
        <w:rPr>
          <w:rFonts w:ascii="Arial" w:hAnsi="Arial" w:cs="Arial"/>
          <w:sz w:val="20"/>
          <w:szCs w:val="20"/>
        </w:rPr>
        <w:t>zahraničn</w:t>
      </w:r>
      <w:r>
        <w:rPr>
          <w:rFonts w:ascii="Arial" w:hAnsi="Arial" w:cs="Arial"/>
          <w:sz w:val="20"/>
          <w:szCs w:val="20"/>
        </w:rPr>
        <w:t>om sťahovaní</w:t>
      </w:r>
      <w:r w:rsidRPr="006850A1">
        <w:rPr>
          <w:rFonts w:ascii="Arial" w:hAnsi="Arial" w:cs="Arial"/>
          <w:sz w:val="20"/>
          <w:szCs w:val="20"/>
        </w:rPr>
        <w:t xml:space="preserve"> sa zisťujú za všetkých obyvateľov, ktorí majú trvalý pobyt</w:t>
      </w:r>
      <w:r w:rsidRPr="009A309C">
        <w:rPr>
          <w:rFonts w:ascii="Arial" w:hAnsi="Arial" w:cs="Arial"/>
          <w:sz w:val="20"/>
          <w:szCs w:val="20"/>
        </w:rPr>
        <w:t xml:space="preserve"> </w:t>
      </w:r>
      <w:r w:rsidRPr="006850A1">
        <w:rPr>
          <w:rFonts w:ascii="Arial" w:hAnsi="Arial" w:cs="Arial"/>
          <w:sz w:val="20"/>
          <w:szCs w:val="20"/>
        </w:rPr>
        <w:t xml:space="preserve">na území Slovenskej republiky bez ohľadu na štátne občianstvo. </w:t>
      </w:r>
    </w:p>
    <w:p w:rsidR="00DB69CD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Štátne občianstvo</w:t>
      </w:r>
      <w:r w:rsidRPr="006850A1">
        <w:rPr>
          <w:rFonts w:ascii="Arial" w:hAnsi="Arial" w:cs="Arial"/>
          <w:sz w:val="20"/>
          <w:szCs w:val="20"/>
        </w:rPr>
        <w:t xml:space="preserve"> znamená individuálny právny zväzok medzi jednotlivcom a</w:t>
      </w:r>
      <w:r>
        <w:rPr>
          <w:rFonts w:ascii="Arial" w:hAnsi="Arial" w:cs="Arial"/>
          <w:sz w:val="20"/>
          <w:szCs w:val="20"/>
        </w:rPr>
        <w:t> </w:t>
      </w:r>
      <w:r w:rsidRPr="006850A1">
        <w:rPr>
          <w:rFonts w:ascii="Arial" w:hAnsi="Arial" w:cs="Arial"/>
          <w:sz w:val="20"/>
          <w:szCs w:val="20"/>
        </w:rPr>
        <w:t>štátom</w:t>
      </w:r>
      <w:r>
        <w:rPr>
          <w:rFonts w:ascii="Arial" w:hAnsi="Arial" w:cs="Arial"/>
          <w:sz w:val="20"/>
          <w:szCs w:val="20"/>
        </w:rPr>
        <w:t>,</w:t>
      </w:r>
      <w:r w:rsidRPr="006850A1">
        <w:rPr>
          <w:rFonts w:ascii="Arial" w:hAnsi="Arial" w:cs="Arial"/>
          <w:sz w:val="20"/>
          <w:szCs w:val="20"/>
        </w:rPr>
        <w:t xml:space="preserve"> získaný narodením alebo udelením občianstva, deklaráciou, voľbou, sobášom alebo niektorým z iných prostriedkov podľa príslušnej národnej legislatívy.</w:t>
      </w:r>
    </w:p>
    <w:p w:rsidR="00DB69CD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 xml:space="preserve">Občan </w:t>
      </w:r>
      <w:r>
        <w:rPr>
          <w:rFonts w:ascii="Arial" w:hAnsi="Arial" w:cs="Arial"/>
          <w:b/>
          <w:sz w:val="20"/>
          <w:szCs w:val="20"/>
        </w:rPr>
        <w:t>Slovenskej republiky</w:t>
      </w:r>
      <w:r w:rsidRPr="006850A1">
        <w:rPr>
          <w:rFonts w:ascii="Arial" w:hAnsi="Arial" w:cs="Arial"/>
          <w:sz w:val="20"/>
          <w:szCs w:val="20"/>
        </w:rPr>
        <w:t xml:space="preserve"> znamená o</w:t>
      </w:r>
      <w:r>
        <w:rPr>
          <w:rFonts w:ascii="Arial" w:hAnsi="Arial" w:cs="Arial"/>
          <w:sz w:val="20"/>
          <w:szCs w:val="20"/>
        </w:rPr>
        <w:t>sobu</w:t>
      </w:r>
      <w:r w:rsidRPr="007724CD">
        <w:rPr>
          <w:rFonts w:ascii="Arial" w:hAnsi="Arial" w:cs="Arial"/>
          <w:sz w:val="20"/>
          <w:szCs w:val="20"/>
        </w:rPr>
        <w:t>, ktorá je štátnym občanom Slovenskej republiky</w:t>
      </w:r>
      <w:r>
        <w:rPr>
          <w:rFonts w:ascii="Arial" w:hAnsi="Arial" w:cs="Arial"/>
          <w:sz w:val="20"/>
          <w:szCs w:val="20"/>
        </w:rPr>
        <w:t>.</w:t>
      </w:r>
    </w:p>
    <w:p w:rsidR="00DB69CD" w:rsidRPr="006850A1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Občan Európskej únie</w:t>
      </w:r>
      <w:r w:rsidRPr="006850A1">
        <w:rPr>
          <w:rFonts w:ascii="Arial" w:hAnsi="Arial" w:cs="Arial"/>
          <w:sz w:val="20"/>
          <w:szCs w:val="20"/>
        </w:rPr>
        <w:t xml:space="preserve"> znamená o</w:t>
      </w:r>
      <w:r>
        <w:rPr>
          <w:rFonts w:ascii="Arial" w:hAnsi="Arial" w:cs="Arial"/>
          <w:sz w:val="20"/>
          <w:szCs w:val="20"/>
        </w:rPr>
        <w:t>sobu, ktorá je štátnym občanom niektorého členského štátu Európskej únie.</w:t>
      </w:r>
    </w:p>
    <w:p w:rsidR="00DB69CD" w:rsidRPr="006850A1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Cudzinec</w:t>
      </w:r>
      <w:r w:rsidRPr="006850A1">
        <w:rPr>
          <w:rFonts w:ascii="Arial" w:hAnsi="Arial" w:cs="Arial"/>
          <w:sz w:val="20"/>
          <w:szCs w:val="20"/>
        </w:rPr>
        <w:t xml:space="preserve"> znamená osobu, ktorá nie je štátnym občanom SR alebo je osobou bez štátnej príslušnosti.</w:t>
      </w:r>
    </w:p>
    <w:p w:rsidR="00DB69CD" w:rsidRPr="006850A1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Občan tretej krajiny</w:t>
      </w:r>
      <w:r w:rsidRPr="006850A1">
        <w:rPr>
          <w:rFonts w:ascii="Arial" w:hAnsi="Arial" w:cs="Arial"/>
          <w:sz w:val="20"/>
          <w:szCs w:val="20"/>
        </w:rPr>
        <w:t xml:space="preserve"> znamená osobu, ktorá </w:t>
      </w:r>
      <w:r>
        <w:rPr>
          <w:rFonts w:ascii="Arial" w:hAnsi="Arial" w:cs="Arial"/>
          <w:sz w:val="20"/>
          <w:szCs w:val="20"/>
        </w:rPr>
        <w:t>je štátnym občanom niektorého štátu</w:t>
      </w:r>
      <w:r w:rsidRPr="006850A1">
        <w:rPr>
          <w:rFonts w:ascii="Arial" w:hAnsi="Arial" w:cs="Arial"/>
          <w:sz w:val="20"/>
          <w:szCs w:val="20"/>
        </w:rPr>
        <w:t xml:space="preserve"> mimo Európskej únie.</w:t>
      </w:r>
    </w:p>
    <w:p w:rsidR="00DB69CD" w:rsidRPr="006850A1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Narodený v cudzine</w:t>
      </w:r>
      <w:r w:rsidRPr="006850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znamená o</w:t>
      </w:r>
      <w:r w:rsidRPr="006850A1">
        <w:rPr>
          <w:rFonts w:ascii="Arial" w:hAnsi="Arial" w:cs="Arial"/>
          <w:sz w:val="20"/>
          <w:szCs w:val="20"/>
        </w:rPr>
        <w:t>sob</w:t>
      </w:r>
      <w:r>
        <w:rPr>
          <w:rFonts w:ascii="Arial" w:hAnsi="Arial" w:cs="Arial"/>
          <w:sz w:val="20"/>
          <w:szCs w:val="20"/>
        </w:rPr>
        <w:t>u</w:t>
      </w:r>
      <w:r w:rsidRPr="006850A1">
        <w:rPr>
          <w:rFonts w:ascii="Arial" w:hAnsi="Arial" w:cs="Arial"/>
          <w:sz w:val="20"/>
          <w:szCs w:val="20"/>
        </w:rPr>
        <w:t xml:space="preserve">, ktorej miesto narodenia alebo pobytu matky v čase narodenia je mimo krajiny </w:t>
      </w:r>
      <w:r>
        <w:rPr>
          <w:rFonts w:ascii="Arial" w:hAnsi="Arial" w:cs="Arial"/>
          <w:sz w:val="20"/>
          <w:szCs w:val="20"/>
        </w:rPr>
        <w:t xml:space="preserve">súčasného </w:t>
      </w:r>
      <w:r w:rsidRPr="006850A1">
        <w:rPr>
          <w:rFonts w:ascii="Arial" w:hAnsi="Arial" w:cs="Arial"/>
          <w:sz w:val="20"/>
          <w:szCs w:val="20"/>
        </w:rPr>
        <w:t>trvalého pobytu.</w:t>
      </w:r>
    </w:p>
    <w:p w:rsidR="00DB69CD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Index ľudského rozvoja (HDI)</w:t>
      </w:r>
      <w:r w:rsidRPr="006850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sa </w:t>
      </w:r>
      <w:r w:rsidRPr="006850A1">
        <w:rPr>
          <w:rFonts w:ascii="Arial" w:hAnsi="Arial" w:cs="Arial"/>
          <w:sz w:val="20"/>
          <w:szCs w:val="20"/>
        </w:rPr>
        <w:t xml:space="preserve">počíta </w:t>
      </w:r>
      <w:r>
        <w:rPr>
          <w:rFonts w:ascii="Arial" w:hAnsi="Arial" w:cs="Arial"/>
          <w:sz w:val="20"/>
          <w:szCs w:val="20"/>
        </w:rPr>
        <w:t>ako zložený index zahrňujúci v sebe štatistické miery strednej dĺžky života, gramotnosti, dosiahnutého vzdelania a </w:t>
      </w:r>
      <w:r w:rsidRPr="006850A1">
        <w:rPr>
          <w:rFonts w:ascii="Arial" w:hAnsi="Arial" w:cs="Arial"/>
          <w:sz w:val="20"/>
          <w:szCs w:val="20"/>
        </w:rPr>
        <w:t>hrubého domáceho produktu na obyvateľa (</w:t>
      </w:r>
      <w:r>
        <w:rPr>
          <w:rFonts w:ascii="Arial" w:hAnsi="Arial" w:cs="Arial"/>
          <w:sz w:val="20"/>
          <w:szCs w:val="20"/>
        </w:rPr>
        <w:t>podrobnejšie</w:t>
      </w:r>
      <w:r w:rsidRPr="006850A1">
        <w:rPr>
          <w:rFonts w:ascii="Arial" w:hAnsi="Arial" w:cs="Arial"/>
          <w:sz w:val="20"/>
          <w:szCs w:val="20"/>
        </w:rPr>
        <w:t xml:space="preserve"> na stránke OSN </w:t>
      </w:r>
      <w:hyperlink r:id="rId4" w:history="1">
        <w:r w:rsidRPr="006850A1">
          <w:rPr>
            <w:rStyle w:val="Hypertextovprepojenie"/>
            <w:rFonts w:ascii="Arial" w:hAnsi="Arial" w:cs="Arial"/>
            <w:sz w:val="20"/>
            <w:szCs w:val="20"/>
          </w:rPr>
          <w:t>http://hdr.undp.org/en/statistics</w:t>
        </w:r>
      </w:hyperlink>
      <w:r w:rsidRPr="006850A1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 w:rsidRPr="006850A1">
        <w:rPr>
          <w:rFonts w:ascii="Arial" w:hAnsi="Arial" w:cs="Arial"/>
          <w:sz w:val="20"/>
          <w:szCs w:val="20"/>
        </w:rPr>
        <w:t xml:space="preserve">Krajiny sú podľa indexu ľudského rozvoja rozdelené do štyroch skupín: veľmi vysoko rozvinuté, vysoko rozvinuté, stredne rozvinuté a málo rozvinuté. </w:t>
      </w:r>
    </w:p>
    <w:p w:rsidR="00DB69CD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Prisťahovaný</w:t>
      </w:r>
      <w:r w:rsidRPr="006850A1">
        <w:rPr>
          <w:rFonts w:ascii="Arial" w:hAnsi="Arial" w:cs="Arial"/>
          <w:sz w:val="20"/>
          <w:szCs w:val="20"/>
        </w:rPr>
        <w:t xml:space="preserve"> znamená osobu, ktorá si zriadila na území SR trvalý pobyt (občan SR, občan EHP, za určitých podmienok občan tretej krajiny). </w:t>
      </w:r>
    </w:p>
    <w:p w:rsidR="00DB69CD" w:rsidRPr="006850A1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Vysťahovaný</w:t>
      </w:r>
      <w:r w:rsidRPr="006850A1">
        <w:rPr>
          <w:rFonts w:ascii="Arial" w:hAnsi="Arial" w:cs="Arial"/>
          <w:sz w:val="20"/>
          <w:szCs w:val="20"/>
        </w:rPr>
        <w:t xml:space="preserve"> znamená osobu, (občana SR alebo cudzinca), ktor</w:t>
      </w:r>
      <w:r>
        <w:rPr>
          <w:rFonts w:ascii="Arial" w:hAnsi="Arial" w:cs="Arial"/>
          <w:sz w:val="20"/>
          <w:szCs w:val="20"/>
        </w:rPr>
        <w:t>á</w:t>
      </w:r>
      <w:r w:rsidRPr="006850A1">
        <w:rPr>
          <w:rFonts w:ascii="Arial" w:hAnsi="Arial" w:cs="Arial"/>
          <w:sz w:val="20"/>
          <w:szCs w:val="20"/>
        </w:rPr>
        <w:t xml:space="preserve"> sa odhlásil</w:t>
      </w:r>
      <w:r>
        <w:rPr>
          <w:rFonts w:ascii="Arial" w:hAnsi="Arial" w:cs="Arial"/>
          <w:sz w:val="20"/>
          <w:szCs w:val="20"/>
        </w:rPr>
        <w:t>a</w:t>
      </w:r>
      <w:r w:rsidRPr="006850A1">
        <w:rPr>
          <w:rFonts w:ascii="Arial" w:hAnsi="Arial" w:cs="Arial"/>
          <w:sz w:val="20"/>
          <w:szCs w:val="20"/>
        </w:rPr>
        <w:t xml:space="preserve"> z trvalého pobytu na území SR.</w:t>
      </w:r>
    </w:p>
    <w:p w:rsidR="00DB69CD" w:rsidRPr="006850A1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EÚ2</w:t>
      </w:r>
      <w:r>
        <w:rPr>
          <w:rFonts w:ascii="Arial" w:hAnsi="Arial" w:cs="Arial"/>
          <w:b/>
          <w:sz w:val="20"/>
          <w:szCs w:val="20"/>
        </w:rPr>
        <w:t>7</w:t>
      </w:r>
      <w:r w:rsidRPr="006850A1">
        <w:rPr>
          <w:rFonts w:ascii="Arial" w:hAnsi="Arial" w:cs="Arial"/>
          <w:sz w:val="20"/>
          <w:szCs w:val="20"/>
        </w:rPr>
        <w:t>: Belgicko, Bulharsko, Česk</w:t>
      </w:r>
      <w:r>
        <w:rPr>
          <w:rFonts w:ascii="Arial" w:hAnsi="Arial" w:cs="Arial"/>
          <w:sz w:val="20"/>
          <w:szCs w:val="20"/>
        </w:rPr>
        <w:t>o</w:t>
      </w:r>
      <w:r w:rsidRPr="006850A1">
        <w:rPr>
          <w:rFonts w:ascii="Arial" w:hAnsi="Arial" w:cs="Arial"/>
          <w:sz w:val="20"/>
          <w:szCs w:val="20"/>
        </w:rPr>
        <w:t>, Dánsko, Nemecko, Estónsko, Írsko, Grécko, Španielsko, Francúzsko, Chorvátsko, Taliansko, Cyprus, Lotyšsko, Litva, Luxembursko, Maďarsko, Malta, Holandsko, Rakúsko, Poľsko, Portugalsko, Rumunsko, Slovinsko, Slovensko, Fínsko, Švédsko.</w:t>
      </w:r>
    </w:p>
    <w:p w:rsidR="00DB69CD" w:rsidRPr="006850A1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Kandidátske krajiny EÚ</w:t>
      </w:r>
      <w:r w:rsidRPr="006850A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Albánsko, </w:t>
      </w:r>
      <w:r w:rsidRPr="006850A1">
        <w:rPr>
          <w:rFonts w:ascii="Arial" w:hAnsi="Arial" w:cs="Arial"/>
          <w:sz w:val="20"/>
          <w:szCs w:val="20"/>
        </w:rPr>
        <w:t xml:space="preserve">Čierna Hora, </w:t>
      </w:r>
      <w:r>
        <w:rPr>
          <w:rFonts w:ascii="Arial" w:hAnsi="Arial" w:cs="Arial"/>
          <w:sz w:val="20"/>
          <w:szCs w:val="20"/>
        </w:rPr>
        <w:t xml:space="preserve">Severné </w:t>
      </w:r>
      <w:r w:rsidRPr="006850A1">
        <w:rPr>
          <w:rFonts w:ascii="Arial" w:hAnsi="Arial" w:cs="Arial"/>
          <w:sz w:val="20"/>
          <w:szCs w:val="20"/>
        </w:rPr>
        <w:t>Macedónsko, Srbsko</w:t>
      </w:r>
      <w:r>
        <w:rPr>
          <w:rFonts w:ascii="Arial" w:hAnsi="Arial" w:cs="Arial"/>
          <w:sz w:val="20"/>
          <w:szCs w:val="20"/>
        </w:rPr>
        <w:t>,</w:t>
      </w:r>
      <w:r w:rsidRPr="006850A1">
        <w:rPr>
          <w:rFonts w:ascii="Arial" w:hAnsi="Arial" w:cs="Arial"/>
          <w:sz w:val="20"/>
          <w:szCs w:val="20"/>
        </w:rPr>
        <w:t> Turecko</w:t>
      </w:r>
      <w:r>
        <w:rPr>
          <w:rFonts w:ascii="Arial" w:hAnsi="Arial" w:cs="Arial"/>
          <w:sz w:val="20"/>
          <w:szCs w:val="20"/>
        </w:rPr>
        <w:t>, Bosna a Hercegovina, Gruzínsko, Moldavsko, Ukrajina</w:t>
      </w:r>
      <w:r w:rsidRPr="006850A1">
        <w:rPr>
          <w:rFonts w:ascii="Arial" w:hAnsi="Arial" w:cs="Arial"/>
          <w:sz w:val="20"/>
          <w:szCs w:val="20"/>
        </w:rPr>
        <w:t>.</w:t>
      </w:r>
    </w:p>
    <w:p w:rsidR="00DB69CD" w:rsidRPr="006850A1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6850A1">
        <w:rPr>
          <w:rFonts w:ascii="Arial" w:hAnsi="Arial" w:cs="Arial"/>
          <w:b/>
          <w:sz w:val="20"/>
          <w:szCs w:val="20"/>
        </w:rPr>
        <w:t>Európske združenie voľného obchodu:</w:t>
      </w:r>
      <w:r w:rsidRPr="006850A1">
        <w:rPr>
          <w:rFonts w:ascii="Arial" w:hAnsi="Arial" w:cs="Arial"/>
          <w:sz w:val="20"/>
          <w:szCs w:val="20"/>
        </w:rPr>
        <w:t xml:space="preserve"> Island, Lichtenštajnsko, Nórsko, Švajčiarsko.</w:t>
      </w:r>
    </w:p>
    <w:p w:rsidR="00DB69CD" w:rsidRDefault="00DB69CD" w:rsidP="00DB69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5075F">
        <w:rPr>
          <w:rFonts w:ascii="Arial" w:hAnsi="Arial" w:cs="Arial"/>
          <w:b/>
          <w:sz w:val="20"/>
          <w:szCs w:val="20"/>
        </w:rPr>
        <w:t>Európsky hospodársky priestor</w:t>
      </w:r>
      <w:r w:rsidRPr="006850A1">
        <w:rPr>
          <w:rFonts w:ascii="Arial" w:hAnsi="Arial" w:cs="Arial"/>
          <w:b/>
          <w:sz w:val="20"/>
          <w:szCs w:val="20"/>
        </w:rPr>
        <w:t xml:space="preserve"> </w:t>
      </w:r>
      <w:r w:rsidRPr="006850A1">
        <w:rPr>
          <w:rFonts w:ascii="Arial" w:hAnsi="Arial" w:cs="Arial"/>
          <w:sz w:val="20"/>
          <w:szCs w:val="20"/>
        </w:rPr>
        <w:t>združuje 2</w:t>
      </w:r>
      <w:r>
        <w:rPr>
          <w:rFonts w:ascii="Arial" w:hAnsi="Arial" w:cs="Arial"/>
          <w:sz w:val="20"/>
          <w:szCs w:val="20"/>
        </w:rPr>
        <w:t>7</w:t>
      </w:r>
      <w:r w:rsidRPr="006850A1">
        <w:rPr>
          <w:rFonts w:ascii="Arial" w:hAnsi="Arial" w:cs="Arial"/>
          <w:sz w:val="20"/>
          <w:szCs w:val="20"/>
        </w:rPr>
        <w:t xml:space="preserve"> členských štátov Európskej únie</w:t>
      </w:r>
      <w:r>
        <w:rPr>
          <w:rFonts w:ascii="Arial" w:hAnsi="Arial" w:cs="Arial"/>
          <w:sz w:val="20"/>
          <w:szCs w:val="20"/>
        </w:rPr>
        <w:t xml:space="preserve"> </w:t>
      </w:r>
      <w:r w:rsidRPr="006850A1">
        <w:rPr>
          <w:rFonts w:ascii="Arial" w:hAnsi="Arial" w:cs="Arial"/>
          <w:sz w:val="20"/>
          <w:szCs w:val="20"/>
        </w:rPr>
        <w:t>a členských štátov Európskeho združenia voľného obchodu, okrem Švajčiarska.</w:t>
      </w:r>
      <w:r w:rsidRPr="003D3F6C">
        <w:rPr>
          <w:rFonts w:ascii="Arial" w:hAnsi="Arial" w:cs="Arial"/>
          <w:b/>
          <w:sz w:val="20"/>
          <w:szCs w:val="20"/>
        </w:rPr>
        <w:t xml:space="preserve"> </w:t>
      </w:r>
    </w:p>
    <w:p w:rsidR="00DB69CD" w:rsidRPr="007308D9" w:rsidRDefault="00DB69CD" w:rsidP="00DB69CD">
      <w:pPr>
        <w:spacing w:before="60" w:after="0" w:line="20" w:lineRule="atLeast"/>
        <w:ind w:right="-34"/>
        <w:jc w:val="both"/>
        <w:rPr>
          <w:rFonts w:ascii="Arial" w:hAnsi="Arial" w:cs="Arial"/>
          <w:sz w:val="20"/>
          <w:szCs w:val="20"/>
        </w:rPr>
      </w:pPr>
      <w:r w:rsidRPr="007308D9">
        <w:rPr>
          <w:rFonts w:ascii="Arial" w:hAnsi="Arial" w:cs="Arial"/>
          <w:b/>
          <w:sz w:val="20"/>
          <w:szCs w:val="20"/>
        </w:rPr>
        <w:t>Žiadateľ o azyl</w:t>
      </w:r>
      <w:r w:rsidRPr="007308D9">
        <w:rPr>
          <w:rFonts w:ascii="Arial" w:hAnsi="Arial" w:cs="Arial"/>
          <w:sz w:val="20"/>
          <w:szCs w:val="20"/>
        </w:rPr>
        <w:t xml:space="preserve"> je cudzinec, ktorý žiada v inej krajine o ochranu pred perzekúciou alebo nebezpečenstvom hroziacim v krajine pôvodu. V SR je to</w:t>
      </w:r>
      <w:r>
        <w:rPr>
          <w:rFonts w:ascii="Arial" w:hAnsi="Arial" w:cs="Arial"/>
          <w:sz w:val="20"/>
          <w:szCs w:val="20"/>
        </w:rPr>
        <w:t xml:space="preserve"> </w:t>
      </w:r>
      <w:r w:rsidRPr="007308D9">
        <w:rPr>
          <w:rFonts w:ascii="Arial" w:hAnsi="Arial" w:cs="Arial"/>
          <w:sz w:val="20"/>
          <w:szCs w:val="20"/>
        </w:rPr>
        <w:t>cudzinec, ktorý na útvare policajného zboru vyhlási, že žia</w:t>
      </w:r>
      <w:r>
        <w:rPr>
          <w:rFonts w:ascii="Arial" w:hAnsi="Arial" w:cs="Arial"/>
          <w:sz w:val="20"/>
          <w:szCs w:val="20"/>
        </w:rPr>
        <w:t>da o udelenie azylu na území SR</w:t>
      </w:r>
      <w:r w:rsidRPr="007308D9">
        <w:rPr>
          <w:rFonts w:ascii="Arial" w:hAnsi="Arial" w:cs="Arial"/>
          <w:sz w:val="20"/>
          <w:szCs w:val="20"/>
        </w:rPr>
        <w:t xml:space="preserve"> (Zákon č. 480/2002 Z. z. o azy</w:t>
      </w:r>
      <w:r>
        <w:rPr>
          <w:rFonts w:ascii="Arial" w:hAnsi="Arial" w:cs="Arial"/>
          <w:sz w:val="20"/>
          <w:szCs w:val="20"/>
        </w:rPr>
        <w:t>le v znení neskorších predpisov</w:t>
      </w:r>
      <w:r w:rsidRPr="007308D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DB69CD" w:rsidRPr="007308D9" w:rsidRDefault="00DB69CD" w:rsidP="00DB69CD">
      <w:pPr>
        <w:spacing w:before="60" w:after="0" w:line="20" w:lineRule="atLeast"/>
        <w:ind w:right="-32"/>
        <w:jc w:val="both"/>
        <w:rPr>
          <w:rFonts w:ascii="Arial" w:hAnsi="Arial" w:cs="Arial"/>
          <w:sz w:val="20"/>
          <w:szCs w:val="20"/>
        </w:rPr>
      </w:pPr>
      <w:r w:rsidRPr="007308D9">
        <w:rPr>
          <w:rFonts w:ascii="Arial" w:hAnsi="Arial" w:cs="Arial"/>
          <w:b/>
          <w:sz w:val="20"/>
          <w:szCs w:val="20"/>
        </w:rPr>
        <w:t xml:space="preserve">Azyl </w:t>
      </w:r>
      <w:r w:rsidRPr="007308D9">
        <w:rPr>
          <w:rFonts w:ascii="Arial" w:hAnsi="Arial" w:cs="Arial"/>
          <w:sz w:val="20"/>
          <w:szCs w:val="20"/>
        </w:rPr>
        <w:t>predstavuje medzinárodnú ochranu cudzinca, ktorý v štáte, ktorého je štátnym občanom (alebo v štáte, v ktorom býva, ak ide o osobu bez štátneho občianstva), má opodstatnené obavy z prenasledovania z rasových, náboženských alebo národnostných dôvodov, z dôvodov zastávania určitých politických názorov alebo príslušnosti k určitej sociálnej skupine, a vzhľadom na tieto obavy sa nechce alebo nemôže vrátiť do tohto štátu. Azyl môže byť udelený aj z humanitných dôvodov, ako aj za účelom zlúčenia rodiny. Dohovor o právnom postavení utečencov (Ženeva 1951) Protokol týkajúci sa právneho postavenia utečencov (New York 1967)</w:t>
      </w:r>
      <w:r>
        <w:rPr>
          <w:rFonts w:ascii="Arial" w:hAnsi="Arial" w:cs="Arial"/>
          <w:sz w:val="20"/>
          <w:szCs w:val="20"/>
        </w:rPr>
        <w:t>.</w:t>
      </w:r>
      <w:r w:rsidRPr="007308D9">
        <w:rPr>
          <w:rFonts w:ascii="Arial" w:hAnsi="Arial" w:cs="Arial"/>
          <w:sz w:val="20"/>
          <w:szCs w:val="20"/>
        </w:rPr>
        <w:t xml:space="preserve"> V SR: Dohovor o právnom postavení utečencov č. 319/1996 Z. z. Čl.</w:t>
      </w:r>
      <w:r>
        <w:rPr>
          <w:rFonts w:ascii="Arial" w:hAnsi="Arial" w:cs="Arial"/>
          <w:sz w:val="20"/>
          <w:szCs w:val="20"/>
        </w:rPr>
        <w:t xml:space="preserve"> </w:t>
      </w:r>
      <w:r w:rsidRPr="007308D9">
        <w:rPr>
          <w:rFonts w:ascii="Arial" w:hAnsi="Arial" w:cs="Arial"/>
          <w:sz w:val="20"/>
          <w:szCs w:val="20"/>
        </w:rPr>
        <w:t>53 Ústav</w:t>
      </w:r>
      <w:r>
        <w:rPr>
          <w:rFonts w:ascii="Arial" w:hAnsi="Arial" w:cs="Arial"/>
          <w:sz w:val="20"/>
          <w:szCs w:val="20"/>
        </w:rPr>
        <w:t>y Slovenskej republiky Zákon č. </w:t>
      </w:r>
      <w:r w:rsidRPr="007308D9">
        <w:rPr>
          <w:rFonts w:ascii="Arial" w:hAnsi="Arial" w:cs="Arial"/>
          <w:sz w:val="20"/>
          <w:szCs w:val="20"/>
        </w:rPr>
        <w:t>480/2002 Z. z. o azyle v znení neskorších predpisov</w:t>
      </w:r>
      <w:r>
        <w:rPr>
          <w:rFonts w:ascii="Arial" w:hAnsi="Arial" w:cs="Arial"/>
          <w:sz w:val="20"/>
          <w:szCs w:val="20"/>
        </w:rPr>
        <w:t>.</w:t>
      </w:r>
      <w:r w:rsidRPr="007308D9">
        <w:rPr>
          <w:rFonts w:ascii="Arial" w:hAnsi="Arial" w:cs="Arial"/>
          <w:sz w:val="20"/>
          <w:szCs w:val="20"/>
        </w:rPr>
        <w:t xml:space="preserve"> </w:t>
      </w:r>
    </w:p>
    <w:p w:rsidR="00DB69CD" w:rsidRPr="007308D9" w:rsidRDefault="00DB69CD" w:rsidP="00DB69CD">
      <w:pPr>
        <w:spacing w:before="60" w:after="0" w:line="20" w:lineRule="atLeast"/>
        <w:ind w:right="-32"/>
        <w:jc w:val="both"/>
        <w:rPr>
          <w:rFonts w:ascii="Arial" w:hAnsi="Arial" w:cs="Arial"/>
          <w:sz w:val="20"/>
          <w:szCs w:val="20"/>
        </w:rPr>
      </w:pPr>
      <w:r w:rsidRPr="007308D9">
        <w:rPr>
          <w:rFonts w:ascii="Arial" w:hAnsi="Arial" w:cs="Arial"/>
          <w:b/>
          <w:sz w:val="20"/>
          <w:szCs w:val="20"/>
        </w:rPr>
        <w:t xml:space="preserve">Azylant </w:t>
      </w:r>
      <w:r w:rsidRPr="007308D9">
        <w:rPr>
          <w:rFonts w:ascii="Arial" w:hAnsi="Arial" w:cs="Arial"/>
          <w:sz w:val="20"/>
          <w:szCs w:val="20"/>
        </w:rPr>
        <w:t>je cudzinec, ktorému bol udelený azyl. V tomto prípade je osobe na území SR udelený trvalý pobyt.</w:t>
      </w:r>
    </w:p>
    <w:p w:rsidR="00DB69CD" w:rsidRDefault="00DB69CD" w:rsidP="00DB69CD">
      <w:pPr>
        <w:spacing w:before="60" w:after="0" w:line="20" w:lineRule="atLeast"/>
        <w:ind w:right="-32"/>
        <w:jc w:val="both"/>
        <w:rPr>
          <w:rFonts w:ascii="Arial" w:hAnsi="Arial" w:cs="Arial"/>
          <w:b/>
          <w:color w:val="538135" w:themeColor="accent6" w:themeShade="BF"/>
          <w:sz w:val="28"/>
          <w:szCs w:val="28"/>
        </w:rPr>
      </w:pPr>
      <w:r w:rsidRPr="007308D9">
        <w:rPr>
          <w:rFonts w:ascii="Arial" w:hAnsi="Arial" w:cs="Arial"/>
          <w:b/>
          <w:sz w:val="20"/>
          <w:szCs w:val="20"/>
        </w:rPr>
        <w:t>Doplnková ochrana</w:t>
      </w:r>
      <w:r w:rsidRPr="007308D9">
        <w:rPr>
          <w:rFonts w:ascii="Arial" w:hAnsi="Arial" w:cs="Arial"/>
          <w:sz w:val="20"/>
          <w:szCs w:val="20"/>
        </w:rPr>
        <w:t xml:space="preserve"> je forma medzinárodnej ochrany cudzinca. Poskytuje sa na dobu určitú, t. j. po dobu, kým pretrváva hrozba alebo vážne nebezpečenstvo v krajine pôvodu (všeobecné nebezpečenstvo a pod.). Poskytuje sa na 1 rok s možnosťou predĺženia o ďalšie dva roky. V tomto prípade je osobe na území SR udelený prechodný pobyt. </w:t>
      </w:r>
    </w:p>
    <w:p w:rsidR="00DB69CD" w:rsidRDefault="00DB69CD" w:rsidP="00DB69CD">
      <w:pPr>
        <w:spacing w:before="60" w:after="0" w:line="20" w:lineRule="atLeast"/>
        <w:ind w:right="-34"/>
        <w:jc w:val="both"/>
      </w:pPr>
      <w:r w:rsidRPr="00943518">
        <w:rPr>
          <w:rFonts w:ascii="Arial" w:hAnsi="Arial" w:cs="Arial"/>
          <w:b/>
          <w:sz w:val="20"/>
          <w:szCs w:val="20"/>
        </w:rPr>
        <w:lastRenderedPageBreak/>
        <w:t>Udelenie štátneho občianstva Slovenskej republiky</w:t>
      </w:r>
      <w:r w:rsidRPr="00943518">
        <w:rPr>
          <w:rFonts w:ascii="Arial" w:hAnsi="Arial" w:cs="Arial"/>
          <w:sz w:val="20"/>
          <w:szCs w:val="20"/>
        </w:rPr>
        <w:t xml:space="preserve"> upravuje zákon NR SR č. 40/1993</w:t>
      </w:r>
      <w:r>
        <w:rPr>
          <w:rFonts w:ascii="Arial" w:hAnsi="Arial" w:cs="Arial"/>
          <w:sz w:val="20"/>
          <w:szCs w:val="20"/>
        </w:rPr>
        <w:t xml:space="preserve"> </w:t>
      </w:r>
      <w:r w:rsidRPr="00943518">
        <w:rPr>
          <w:rFonts w:ascii="Arial" w:hAnsi="Arial" w:cs="Arial"/>
          <w:sz w:val="20"/>
          <w:szCs w:val="20"/>
        </w:rPr>
        <w:t>Z.</w:t>
      </w:r>
      <w:r>
        <w:rPr>
          <w:rFonts w:ascii="Arial" w:hAnsi="Arial" w:cs="Arial"/>
          <w:sz w:val="20"/>
          <w:szCs w:val="20"/>
        </w:rPr>
        <w:t xml:space="preserve"> </w:t>
      </w:r>
      <w:r w:rsidRPr="00943518">
        <w:rPr>
          <w:rFonts w:ascii="Arial" w:hAnsi="Arial" w:cs="Arial"/>
          <w:sz w:val="20"/>
          <w:szCs w:val="20"/>
        </w:rPr>
        <w:t>z. o štátnom občianstve Slovenskej republik</w:t>
      </w:r>
      <w:r>
        <w:rPr>
          <w:rFonts w:ascii="Arial" w:hAnsi="Arial" w:cs="Arial"/>
          <w:sz w:val="20"/>
          <w:szCs w:val="20"/>
        </w:rPr>
        <w:t>y</w:t>
      </w:r>
      <w:r w:rsidRPr="00943518">
        <w:rPr>
          <w:rFonts w:ascii="Arial" w:hAnsi="Arial" w:cs="Arial"/>
          <w:sz w:val="20"/>
          <w:szCs w:val="20"/>
        </w:rPr>
        <w:t xml:space="preserve"> v znení neskorších predpisov.</w:t>
      </w:r>
      <w:r>
        <w:rPr>
          <w:rFonts w:ascii="Arial" w:hAnsi="Arial" w:cs="Arial"/>
          <w:sz w:val="20"/>
          <w:szCs w:val="20"/>
        </w:rPr>
        <w:t xml:space="preserve"> </w:t>
      </w:r>
      <w:r w:rsidRPr="00A9625B">
        <w:rPr>
          <w:rFonts w:ascii="Arial" w:eastAsia="Times New Roman" w:hAnsi="Arial" w:cs="Arial"/>
          <w:b/>
          <w:sz w:val="20"/>
          <w:szCs w:val="20"/>
          <w:lang w:eastAsia="sk-SK"/>
        </w:rPr>
        <w:t>Štátne občianstvo S</w:t>
      </w:r>
      <w:r w:rsidRPr="008026C2">
        <w:rPr>
          <w:rFonts w:ascii="Arial" w:eastAsia="Times New Roman" w:hAnsi="Arial" w:cs="Arial"/>
          <w:b/>
          <w:sz w:val="20"/>
          <w:szCs w:val="20"/>
          <w:lang w:eastAsia="sk-SK"/>
        </w:rPr>
        <w:t>R</w:t>
      </w:r>
      <w:r w:rsidRPr="00A9625B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možno</w:t>
      </w:r>
      <w:r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udeliť </w:t>
      </w:r>
      <w:r>
        <w:t xml:space="preserve">žiadateľovi, ktorý nie je štátnym občanom Slovenskej republiky na základe podmienok, ktoré sú stanovené v </w:t>
      </w:r>
      <w:r w:rsidRPr="008026C2">
        <w:rPr>
          <w:rFonts w:ascii="Arial" w:eastAsia="Times New Roman" w:hAnsi="Arial" w:cs="Arial"/>
          <w:sz w:val="20"/>
          <w:szCs w:val="20"/>
          <w:lang w:eastAsia="sk-SK"/>
        </w:rPr>
        <w:t>§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7 príslušného zákona.</w:t>
      </w:r>
      <w:r>
        <w:t xml:space="preserve"> </w:t>
      </w:r>
    </w:p>
    <w:p w:rsidR="00DB69CD" w:rsidRDefault="00DB69CD" w:rsidP="00DB69CD">
      <w:pPr>
        <w:spacing w:before="60" w:after="0" w:line="20" w:lineRule="atLeast"/>
        <w:ind w:right="-3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943518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Štátne občianstvo Slovenskej republiky možno stratiť </w:t>
      </w:r>
      <w:r w:rsidRPr="00943518">
        <w:rPr>
          <w:rFonts w:ascii="Arial" w:eastAsia="Times New Roman" w:hAnsi="Arial" w:cs="Arial"/>
          <w:sz w:val="20"/>
          <w:szCs w:val="20"/>
          <w:lang w:eastAsia="sk-SK"/>
        </w:rPr>
        <w:t>dvoma spôsobmi</w:t>
      </w:r>
      <w:r>
        <w:rPr>
          <w:rFonts w:ascii="Arial" w:eastAsia="Times New Roman" w:hAnsi="Arial" w:cs="Arial"/>
          <w:sz w:val="20"/>
          <w:szCs w:val="20"/>
          <w:lang w:eastAsia="sk-SK"/>
        </w:rPr>
        <w:t>, a to:</w:t>
      </w:r>
      <w:r w:rsidRPr="00943518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3521C3">
        <w:rPr>
          <w:rFonts w:ascii="Arial" w:eastAsiaTheme="minorHAnsi" w:hAnsi="Arial" w:cs="Arial"/>
          <w:sz w:val="20"/>
          <w:szCs w:val="20"/>
          <w:lang w:eastAsia="sk-SK"/>
        </w:rPr>
        <w:t>prepustením zo štátneho zväzku Slovenskej republiky na vlastnú žiadosť</w:t>
      </w:r>
      <w:r>
        <w:rPr>
          <w:rFonts w:ascii="Arial" w:eastAsiaTheme="minorHAnsi" w:hAnsi="Arial" w:cs="Arial"/>
          <w:sz w:val="20"/>
          <w:szCs w:val="20"/>
          <w:lang w:eastAsia="sk-SK"/>
        </w:rPr>
        <w:t xml:space="preserve"> alebo </w:t>
      </w:r>
      <w:r w:rsidRPr="003521C3">
        <w:rPr>
          <w:rFonts w:ascii="Arial" w:eastAsiaTheme="minorHAnsi" w:hAnsi="Arial" w:cs="Arial"/>
          <w:sz w:val="20"/>
          <w:szCs w:val="20"/>
          <w:lang w:eastAsia="sk-SK"/>
        </w:rPr>
        <w:t xml:space="preserve"> nadobudnutím cudzieho štátneho občianstva na základe výslovného prejavu vôle</w:t>
      </w:r>
      <w:r>
        <w:rPr>
          <w:rFonts w:ascii="Arial" w:eastAsiaTheme="minorHAnsi" w:hAnsi="Arial" w:cs="Arial"/>
          <w:sz w:val="20"/>
          <w:szCs w:val="20"/>
          <w:lang w:eastAsia="sk-SK"/>
        </w:rPr>
        <w:t xml:space="preserve"> (u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pravuje </w:t>
      </w:r>
      <w:r w:rsidRPr="00943518">
        <w:rPr>
          <w:rFonts w:ascii="Arial" w:eastAsia="Times New Roman" w:hAnsi="Arial" w:cs="Arial"/>
          <w:sz w:val="20"/>
          <w:szCs w:val="20"/>
          <w:lang w:eastAsia="sk-SK"/>
        </w:rPr>
        <w:t>§ 9 zákona NR SR č. 40/1993 Z. z. o štátnom občianstve Slovenskej republiky v znení neskorších predpisov</w:t>
      </w:r>
      <w:r>
        <w:rPr>
          <w:rFonts w:ascii="Arial" w:eastAsia="Times New Roman" w:hAnsi="Arial" w:cs="Arial"/>
          <w:sz w:val="20"/>
          <w:szCs w:val="20"/>
          <w:lang w:eastAsia="sk-SK"/>
        </w:rPr>
        <w:t>).</w:t>
      </w:r>
    </w:p>
    <w:p w:rsidR="00DB69CD" w:rsidRPr="003521C3" w:rsidRDefault="00DB69CD" w:rsidP="00DB69CD">
      <w:pPr>
        <w:pStyle w:val="Default"/>
        <w:spacing w:before="60"/>
        <w:jc w:val="both"/>
        <w:rPr>
          <w:rFonts w:ascii="Arial" w:hAnsi="Arial" w:cs="Arial"/>
          <w:sz w:val="20"/>
          <w:szCs w:val="20"/>
        </w:rPr>
      </w:pPr>
      <w:r w:rsidRPr="003521C3">
        <w:rPr>
          <w:rFonts w:ascii="Arial" w:hAnsi="Arial" w:cs="Arial"/>
          <w:b/>
          <w:bCs/>
          <w:sz w:val="20"/>
          <w:szCs w:val="20"/>
          <w:u w:val="single"/>
        </w:rPr>
        <w:t>Zákon č. 250/2010 Z. z., ktorým bol novelizovaný zákon NR SR č. 40/1993 Z. z.</w:t>
      </w:r>
      <w:r w:rsidRPr="003521C3">
        <w:rPr>
          <w:rFonts w:ascii="Arial" w:hAnsi="Arial" w:cs="Arial"/>
          <w:sz w:val="20"/>
          <w:szCs w:val="20"/>
        </w:rPr>
        <w:t xml:space="preserve"> o štátnom občianstve Slovenskej republiky v znení neskorších predpisov, zaviedol do právneho poriadku Slovenskej republiky ďalší spôsob straty štátneho občianstva Slovenskej republiky. Zmena zákona ustanovuje stratu štátneho občianstva Slovenskej republiky ex </w:t>
      </w:r>
      <w:proofErr w:type="spellStart"/>
      <w:r w:rsidRPr="003521C3">
        <w:rPr>
          <w:rFonts w:ascii="Arial" w:hAnsi="Arial" w:cs="Arial"/>
          <w:sz w:val="20"/>
          <w:szCs w:val="20"/>
        </w:rPr>
        <w:t>lege</w:t>
      </w:r>
      <w:proofErr w:type="spellEnd"/>
      <w:r w:rsidRPr="003521C3">
        <w:rPr>
          <w:rFonts w:ascii="Arial" w:hAnsi="Arial" w:cs="Arial"/>
          <w:sz w:val="20"/>
          <w:szCs w:val="20"/>
        </w:rPr>
        <w:t xml:space="preserve"> ako následok nadobudnutia cudzieho štátneho občianstva na základe výslovného prejavu vôle (</w:t>
      </w:r>
      <w:r w:rsidRPr="003521C3">
        <w:rPr>
          <w:rFonts w:ascii="Arial" w:hAnsi="Arial" w:cs="Arial"/>
          <w:bCs/>
          <w:sz w:val="20"/>
          <w:szCs w:val="20"/>
        </w:rPr>
        <w:t>úprava nadobudla účinnosť dňa 17. júla 2010).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521C3">
        <w:rPr>
          <w:rFonts w:ascii="Arial" w:hAnsi="Arial" w:cs="Arial"/>
          <w:sz w:val="20"/>
          <w:szCs w:val="20"/>
        </w:rPr>
        <w:t xml:space="preserve">Štátny občan Slovenskej republiky stráca podľa § 9 ods. 1 písm. b) a odseku 16 a 19 zákona štátne občianstvo Slovenskej republiky dňom, ktorým na základe výslovného prejavu vôle (žiadosť, vyhlásenie alebo iný úkon smerujúci k nadobudnutiu cudzieho štátneho občianstva) dobrovoľne nadobudne cudzie štátne občianstvo. </w:t>
      </w:r>
    </w:p>
    <w:p w:rsidR="00DB69CD" w:rsidRPr="003521C3" w:rsidRDefault="00DB69CD" w:rsidP="00DB69CD">
      <w:pPr>
        <w:pStyle w:val="Default"/>
        <w:spacing w:before="60"/>
        <w:jc w:val="both"/>
        <w:rPr>
          <w:rFonts w:ascii="Arial" w:hAnsi="Arial" w:cs="Arial"/>
          <w:b/>
          <w:bCs/>
          <w:color w:val="auto"/>
          <w:sz w:val="20"/>
          <w:szCs w:val="20"/>
          <w:u w:val="single"/>
        </w:rPr>
      </w:pPr>
      <w:r w:rsidRPr="003521C3">
        <w:rPr>
          <w:rFonts w:ascii="Arial" w:hAnsi="Arial" w:cs="Arial"/>
          <w:b/>
          <w:bCs/>
          <w:color w:val="auto"/>
          <w:sz w:val="20"/>
          <w:szCs w:val="20"/>
          <w:u w:val="single"/>
        </w:rPr>
        <w:t xml:space="preserve">Zákonom č. 72/2022 Z. z. bol zákon o štátnom občianstve SR novelizovaný, zmena zákona nadobudla účinnosť dňa 1. apríla 2022. </w:t>
      </w:r>
    </w:p>
    <w:p w:rsidR="00DB69CD" w:rsidRPr="003521C3" w:rsidRDefault="00DB69CD" w:rsidP="00DB69C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3521C3">
        <w:rPr>
          <w:rFonts w:ascii="Arial" w:hAnsi="Arial" w:cs="Arial"/>
          <w:color w:val="auto"/>
          <w:sz w:val="20"/>
          <w:szCs w:val="20"/>
        </w:rPr>
        <w:t xml:space="preserve">Zákon o štátnom občianstve Slovenskej republiky ustanovuje výnimky, na základe ktorých nedochádza k strate štátneho občianstva Slovenskej republiky zo zákona, ak štátny občan Slovenskej republiky nadobudne cudzie štátne občianstvo po 1. apríli 2022: </w:t>
      </w:r>
      <w:r w:rsidRPr="002A4803">
        <w:rPr>
          <w:rFonts w:ascii="Arial" w:hAnsi="Arial" w:cs="Arial"/>
          <w:b/>
          <w:color w:val="auto"/>
          <w:sz w:val="20"/>
          <w:szCs w:val="20"/>
        </w:rPr>
        <w:t>p</w:t>
      </w:r>
      <w:r w:rsidRPr="003521C3">
        <w:rPr>
          <w:rFonts w:ascii="Arial" w:hAnsi="Arial" w:cs="Arial"/>
          <w:b/>
          <w:bCs/>
          <w:color w:val="auto"/>
          <w:sz w:val="20"/>
          <w:szCs w:val="20"/>
        </w:rPr>
        <w:t xml:space="preserve">odľa § 9 ods. 17 zákona </w:t>
      </w:r>
      <w:r w:rsidRPr="003521C3">
        <w:rPr>
          <w:rFonts w:ascii="Arial" w:hAnsi="Arial" w:cs="Arial"/>
          <w:color w:val="auto"/>
          <w:sz w:val="20"/>
          <w:szCs w:val="20"/>
        </w:rPr>
        <w:t>ide o nadobudnutie cudzieho štátneho občianstva manžela</w:t>
      </w:r>
      <w:r>
        <w:rPr>
          <w:rFonts w:ascii="Arial" w:hAnsi="Arial" w:cs="Arial"/>
          <w:color w:val="auto"/>
          <w:sz w:val="20"/>
          <w:szCs w:val="20"/>
        </w:rPr>
        <w:t>/-</w:t>
      </w:r>
      <w:proofErr w:type="spellStart"/>
      <w:r>
        <w:rPr>
          <w:rFonts w:ascii="Arial" w:hAnsi="Arial" w:cs="Arial"/>
          <w:color w:val="auto"/>
          <w:sz w:val="20"/>
          <w:szCs w:val="20"/>
        </w:rPr>
        <w:t>ky</w:t>
      </w:r>
      <w:proofErr w:type="spellEnd"/>
      <w:r w:rsidRPr="003521C3">
        <w:rPr>
          <w:rFonts w:ascii="Arial" w:hAnsi="Arial" w:cs="Arial"/>
          <w:color w:val="auto"/>
          <w:sz w:val="20"/>
          <w:szCs w:val="20"/>
        </w:rPr>
        <w:t xml:space="preserve"> za </w:t>
      </w:r>
      <w:r w:rsidRPr="003521C3">
        <w:rPr>
          <w:rFonts w:ascii="Arial" w:hAnsi="Arial" w:cs="Arial"/>
          <w:b/>
          <w:bCs/>
          <w:color w:val="auto"/>
          <w:sz w:val="20"/>
          <w:szCs w:val="20"/>
          <w:u w:val="single"/>
        </w:rPr>
        <w:t xml:space="preserve">trvania manželstva, narodením, osvojením, alebo ak ho nadobudlo maloleté dieťa </w:t>
      </w:r>
      <w:r w:rsidRPr="003521C3">
        <w:rPr>
          <w:rFonts w:ascii="Arial" w:hAnsi="Arial" w:cs="Arial"/>
          <w:color w:val="auto"/>
          <w:sz w:val="20"/>
          <w:szCs w:val="20"/>
        </w:rPr>
        <w:t xml:space="preserve">a </w:t>
      </w:r>
      <w:r w:rsidRPr="003521C3">
        <w:rPr>
          <w:rFonts w:ascii="Arial" w:hAnsi="Arial" w:cs="Arial"/>
          <w:b/>
          <w:bCs/>
          <w:color w:val="auto"/>
          <w:sz w:val="20"/>
          <w:szCs w:val="20"/>
        </w:rPr>
        <w:t xml:space="preserve">podľa § 9 ods. 18 zákona </w:t>
      </w:r>
      <w:r w:rsidRPr="003521C3">
        <w:rPr>
          <w:rFonts w:ascii="Arial" w:hAnsi="Arial" w:cs="Arial"/>
          <w:color w:val="auto"/>
          <w:sz w:val="20"/>
          <w:szCs w:val="20"/>
        </w:rPr>
        <w:t xml:space="preserve">ide o výnimku pri preukázanom pobyte v cudzom štáte najmenej päť rokov. </w:t>
      </w:r>
    </w:p>
    <w:p w:rsidR="00DB69CD" w:rsidRPr="003521C3" w:rsidRDefault="00DB69CD" w:rsidP="00DB69CD">
      <w:pPr>
        <w:spacing w:after="0" w:line="240" w:lineRule="auto"/>
        <w:jc w:val="both"/>
        <w:rPr>
          <w:rFonts w:ascii="Arial" w:eastAsiaTheme="minorHAnsi" w:hAnsi="Arial" w:cs="Arial"/>
          <w:sz w:val="20"/>
          <w:szCs w:val="20"/>
          <w:lang w:eastAsia="sk-SK"/>
        </w:rPr>
      </w:pPr>
      <w:r w:rsidRPr="003521C3">
        <w:rPr>
          <w:rFonts w:ascii="Arial" w:eastAsiaTheme="minorHAnsi" w:hAnsi="Arial" w:cs="Arial"/>
          <w:sz w:val="20"/>
          <w:szCs w:val="20"/>
          <w:lang w:eastAsia="sk-SK"/>
        </w:rPr>
        <w:t>K strate štátneho občianstva Slovenskej republiky podľa § 9 ods. 18 zákona nedôjde ani vtedy, ak štátny občan Slovenskej republiky nadobudol cudzie štátne občianstvo štátu, v ktorom mal v čase nadobudnutia cudzieho štátneho občianstva povolený pobyt, registrovaný pobyt alebo inak evidovaný pobyt najmenej päť rokov; podmienka pobytu sa považuje za splnenú, ak sa štátny občan Slovenskej republiky na území cudzieho štátu počas tejto doby skutočne zdržiaval.</w:t>
      </w:r>
    </w:p>
    <w:p w:rsidR="00DB69CD" w:rsidRPr="00710E8B" w:rsidRDefault="00DB69CD" w:rsidP="00DB69CD">
      <w:pPr>
        <w:autoSpaceDE w:val="0"/>
        <w:autoSpaceDN w:val="0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Podrobnejšie informácie týkajúce sa agendy štátneho občianstva nájdete na stránke MV SR:  </w:t>
      </w:r>
      <w:hyperlink r:id="rId5" w:history="1">
        <w:r w:rsidRPr="00710E8B">
          <w:rPr>
            <w:rStyle w:val="Hypertextovprepojenie"/>
            <w:rFonts w:ascii="Arial" w:hAnsi="Arial" w:cs="Arial"/>
            <w:sz w:val="20"/>
            <w:szCs w:val="20"/>
          </w:rPr>
          <w:t>https://www.minv.sk/?informacia-o-udeleni-a-strate-statneho-obcianstva-sr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DB69CD" w:rsidRDefault="00DB69CD" w:rsidP="00DB69CD">
      <w:pPr>
        <w:spacing w:before="60" w:after="0" w:line="20" w:lineRule="atLeast"/>
        <w:ind w:right="-32"/>
        <w:jc w:val="both"/>
        <w:rPr>
          <w:rFonts w:ascii="Arial" w:hAnsi="Arial" w:cs="Arial"/>
          <w:b/>
          <w:sz w:val="20"/>
          <w:szCs w:val="20"/>
        </w:rPr>
      </w:pPr>
    </w:p>
    <w:p w:rsidR="00DB69CD" w:rsidRDefault="00DB69CD" w:rsidP="00DB69CD">
      <w:pPr>
        <w:spacing w:before="60" w:after="0" w:line="20" w:lineRule="atLeast"/>
        <w:ind w:right="-32"/>
        <w:jc w:val="both"/>
        <w:rPr>
          <w:rFonts w:ascii="Arial" w:hAnsi="Arial" w:cs="Arial"/>
          <w:b/>
          <w:sz w:val="20"/>
          <w:szCs w:val="20"/>
        </w:rPr>
      </w:pPr>
    </w:p>
    <w:p w:rsidR="00DB69CD" w:rsidRDefault="00DB69CD" w:rsidP="00DB69CD">
      <w:pPr>
        <w:spacing w:before="60" w:after="0" w:line="20" w:lineRule="atLeast"/>
        <w:ind w:right="-3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Metodické poznámky</w:t>
      </w:r>
    </w:p>
    <w:p w:rsidR="00DB69CD" w:rsidRDefault="00DB69CD" w:rsidP="00DB69CD">
      <w:pPr>
        <w:spacing w:before="60" w:after="0" w:line="20" w:lineRule="atLeast"/>
        <w:ind w:right="-3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D21D28">
        <w:rPr>
          <w:rFonts w:ascii="Arial" w:hAnsi="Arial" w:cs="Arial"/>
          <w:sz w:val="20"/>
          <w:szCs w:val="20"/>
        </w:rPr>
        <w:t>dchýlky v súčtoch podielov vznikajú zaokrúhľovaním údajov.</w:t>
      </w:r>
    </w:p>
    <w:p w:rsidR="00DB69CD" w:rsidRDefault="00DB69CD" w:rsidP="00DB69CD">
      <w:pPr>
        <w:spacing w:before="60" w:after="0" w:line="20" w:lineRule="atLeast"/>
        <w:ind w:right="-3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Údaje o prisťahovaných od roku 2012 zahŕňajú aj deti narodené v zahraničí, ktoré boli prihlásené na trvalý pobyt v SR.</w:t>
      </w:r>
    </w:p>
    <w:p w:rsidR="00DB69CD" w:rsidRPr="00FD0E5A" w:rsidRDefault="00DB69CD" w:rsidP="00DB69CD">
      <w:pPr>
        <w:spacing w:before="60" w:after="0" w:line="20" w:lineRule="atLeast"/>
        <w:ind w:right="-32"/>
        <w:jc w:val="both"/>
        <w:rPr>
          <w:rFonts w:ascii="Arial" w:hAnsi="Arial" w:cs="Arial"/>
          <w:b/>
          <w:color w:val="538135" w:themeColor="accent6" w:themeShade="BF"/>
          <w:sz w:val="28"/>
          <w:szCs w:val="28"/>
        </w:rPr>
      </w:pPr>
      <w:r>
        <w:rPr>
          <w:rFonts w:ascii="Arial" w:hAnsi="Arial" w:cs="Arial"/>
          <w:sz w:val="20"/>
          <w:szCs w:val="20"/>
        </w:rPr>
        <w:t>Ležatá čiarka (-) znamená, že jav sa nevyskytoval z logických dôvodov. Bodka (.) znamená, že údaj nie je k dispozícii.</w:t>
      </w:r>
    </w:p>
    <w:p w:rsidR="00DB69CD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B69CD" w:rsidRDefault="00DB69CD" w:rsidP="00DB69CD">
      <w:pPr>
        <w:spacing w:after="0"/>
        <w:jc w:val="both"/>
        <w:rPr>
          <w:rFonts w:ascii="Arial" w:hAnsi="Arial" w:cs="Arial"/>
          <w:sz w:val="20"/>
          <w:szCs w:val="20"/>
        </w:rPr>
      </w:pPr>
      <w:r w:rsidRPr="003A5883">
        <w:rPr>
          <w:rFonts w:ascii="Arial" w:hAnsi="Arial" w:cs="Arial"/>
          <w:b/>
          <w:sz w:val="20"/>
          <w:szCs w:val="20"/>
        </w:rPr>
        <w:t>Použité skratky</w:t>
      </w:r>
      <w:r>
        <w:rPr>
          <w:rFonts w:ascii="Arial" w:hAnsi="Arial" w:cs="Arial"/>
          <w:b/>
          <w:sz w:val="20"/>
          <w:szCs w:val="20"/>
        </w:rPr>
        <w:t>:</w:t>
      </w:r>
    </w:p>
    <w:p w:rsidR="00DB69CD" w:rsidRDefault="00DB69CD" w:rsidP="00DB69C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Mriekatabuky"/>
        <w:tblpPr w:leftFromText="141" w:rightFromText="141" w:vertAnchor="text" w:horzAnchor="margin" w:tblpY="-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5201"/>
        <w:gridCol w:w="1283"/>
        <w:gridCol w:w="3658"/>
        <w:gridCol w:w="668"/>
        <w:gridCol w:w="2199"/>
      </w:tblGrid>
      <w:tr w:rsidR="00DB69CD" w:rsidTr="005A0C5B">
        <w:trPr>
          <w:trHeight w:val="66"/>
        </w:trPr>
        <w:tc>
          <w:tcPr>
            <w:tcW w:w="993" w:type="dxa"/>
          </w:tcPr>
          <w:p w:rsidR="00DB69CD" w:rsidRPr="001375F7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 w:rsidRPr="001375F7">
              <w:rPr>
                <w:rFonts w:ascii="Arial" w:hAnsi="Arial" w:cs="Arial"/>
                <w:sz w:val="20"/>
                <w:szCs w:val="20"/>
              </w:rPr>
              <w:lastRenderedPageBreak/>
              <w:t xml:space="preserve">MV SR   </w:t>
            </w:r>
          </w:p>
        </w:tc>
        <w:tc>
          <w:tcPr>
            <w:tcW w:w="5201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 w:rsidRPr="001375F7">
              <w:rPr>
                <w:rFonts w:ascii="Arial" w:hAnsi="Arial" w:cs="Arial"/>
                <w:sz w:val="20"/>
                <w:szCs w:val="20"/>
              </w:rPr>
              <w:t>Ministerstvo vnútra Slovenskej republiky</w:t>
            </w:r>
          </w:p>
        </w:tc>
        <w:tc>
          <w:tcPr>
            <w:tcW w:w="128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9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9CD" w:rsidTr="005A0C5B">
        <w:trPr>
          <w:trHeight w:val="66"/>
        </w:trPr>
        <w:tc>
          <w:tcPr>
            <w:tcW w:w="99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</w:t>
            </w:r>
          </w:p>
        </w:tc>
        <w:tc>
          <w:tcPr>
            <w:tcW w:w="5201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 w:rsidRPr="008A281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Slovenská republika</w:t>
            </w:r>
          </w:p>
        </w:tc>
        <w:tc>
          <w:tcPr>
            <w:tcW w:w="128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9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9CD" w:rsidTr="005A0C5B">
        <w:tc>
          <w:tcPr>
            <w:tcW w:w="99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EÚ</w:t>
            </w:r>
          </w:p>
        </w:tc>
        <w:tc>
          <w:tcPr>
            <w:tcW w:w="5201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 w:rsidRPr="008A281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Európska únia</w:t>
            </w:r>
          </w:p>
        </w:tc>
        <w:tc>
          <w:tcPr>
            <w:tcW w:w="128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9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9CD" w:rsidTr="005A0C5B">
        <w:tc>
          <w:tcPr>
            <w:tcW w:w="99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EZVO</w:t>
            </w:r>
          </w:p>
        </w:tc>
        <w:tc>
          <w:tcPr>
            <w:tcW w:w="5201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 w:rsidRPr="008A281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Európske združenie voľného obchodu</w:t>
            </w:r>
          </w:p>
        </w:tc>
        <w:tc>
          <w:tcPr>
            <w:tcW w:w="128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9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9CD" w:rsidTr="005A0C5B">
        <w:tc>
          <w:tcPr>
            <w:tcW w:w="99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EHP</w:t>
            </w:r>
          </w:p>
        </w:tc>
        <w:tc>
          <w:tcPr>
            <w:tcW w:w="5201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 w:rsidRPr="008A281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Európsky hospodársky priestor</w:t>
            </w:r>
          </w:p>
        </w:tc>
        <w:tc>
          <w:tcPr>
            <w:tcW w:w="128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9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9CD" w:rsidTr="005A0C5B">
        <w:tc>
          <w:tcPr>
            <w:tcW w:w="99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HDI</w:t>
            </w:r>
          </w:p>
        </w:tc>
        <w:tc>
          <w:tcPr>
            <w:tcW w:w="5201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Index ľudského rozvoja</w:t>
            </w:r>
          </w:p>
        </w:tc>
        <w:tc>
          <w:tcPr>
            <w:tcW w:w="1283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9" w:type="dxa"/>
          </w:tcPr>
          <w:p w:rsidR="00DB69CD" w:rsidRDefault="00DB69CD" w:rsidP="005A0C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B69CD" w:rsidRDefault="00DB69CD" w:rsidP="00DB69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B69CD" w:rsidRPr="00CA66D8" w:rsidRDefault="00DB69CD" w:rsidP="00DB69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66D8">
        <w:rPr>
          <w:rFonts w:ascii="Arial" w:hAnsi="Arial" w:cs="Arial"/>
          <w:sz w:val="20"/>
          <w:szCs w:val="20"/>
        </w:rPr>
        <w:t>Štatistické informácie o zahraničnom sťahovaní</w:t>
      </w:r>
      <w:r>
        <w:rPr>
          <w:rFonts w:ascii="Arial" w:hAnsi="Arial" w:cs="Arial"/>
          <w:sz w:val="20"/>
          <w:szCs w:val="20"/>
        </w:rPr>
        <w:t xml:space="preserve"> sa nachádzajú a sú priebežne aktualizované na internetových stránkach ŠÚ SR v doméne „Demografia“ a v databáze ŠÚ SR – </w:t>
      </w:r>
      <w:proofErr w:type="spellStart"/>
      <w:r>
        <w:rPr>
          <w:rFonts w:ascii="Arial" w:hAnsi="Arial" w:cs="Arial"/>
          <w:sz w:val="20"/>
          <w:szCs w:val="20"/>
        </w:rPr>
        <w:t>DATAcube</w:t>
      </w:r>
      <w:proofErr w:type="spellEnd"/>
      <w:r>
        <w:rPr>
          <w:rFonts w:ascii="Arial" w:hAnsi="Arial" w:cs="Arial"/>
          <w:sz w:val="20"/>
          <w:szCs w:val="20"/>
        </w:rPr>
        <w:t>. (</w:t>
      </w:r>
      <w:hyperlink r:id="rId6" w:history="1">
        <w:r w:rsidRPr="0060161D">
          <w:rPr>
            <w:rStyle w:val="Hypertextovprepojenie"/>
            <w:rFonts w:ascii="Arial" w:hAnsi="Arial" w:cs="Arial"/>
            <w:sz w:val="20"/>
            <w:szCs w:val="20"/>
          </w:rPr>
          <w:t>http:/datacube.statistics.sk</w:t>
        </w:r>
      </w:hyperlink>
      <w:r>
        <w:rPr>
          <w:rFonts w:ascii="Arial" w:hAnsi="Arial" w:cs="Arial"/>
          <w:sz w:val="20"/>
          <w:szCs w:val="20"/>
        </w:rPr>
        <w:t>).</w:t>
      </w:r>
      <w:r w:rsidRPr="00CA66D8">
        <w:rPr>
          <w:rFonts w:ascii="Arial" w:hAnsi="Arial" w:cs="Arial"/>
          <w:sz w:val="20"/>
          <w:szCs w:val="20"/>
        </w:rPr>
        <w:t xml:space="preserve"> </w:t>
      </w:r>
    </w:p>
    <w:p w:rsidR="00317A53" w:rsidRDefault="00317A53"/>
    <w:sectPr w:rsidR="00317A53" w:rsidSect="00DB69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CD"/>
    <w:rsid w:val="00317A53"/>
    <w:rsid w:val="00993FE8"/>
    <w:rsid w:val="00DB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DEF3A-6503-495E-8910-0360CF04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B69CD"/>
    <w:pPr>
      <w:spacing w:line="300" w:lineRule="auto"/>
    </w:pPr>
    <w:rPr>
      <w:rFonts w:eastAsiaTheme="minorEastAsia"/>
      <w:sz w:val="21"/>
      <w:szCs w:val="21"/>
    </w:rPr>
  </w:style>
  <w:style w:type="paragraph" w:styleId="Nadpis1">
    <w:name w:val="heading 1"/>
    <w:basedOn w:val="Normlny"/>
    <w:next w:val="Normlny"/>
    <w:link w:val="Nadpis1Char"/>
    <w:uiPriority w:val="9"/>
    <w:qFormat/>
    <w:rsid w:val="00DB69C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B69C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styleId="Hypertextovprepojenie">
    <w:name w:val="Hyperlink"/>
    <w:uiPriority w:val="99"/>
    <w:rsid w:val="00DB69CD"/>
    <w:rPr>
      <w:color w:val="0000FF"/>
      <w:u w:val="single"/>
    </w:rPr>
  </w:style>
  <w:style w:type="table" w:styleId="Mriekatabuky">
    <w:name w:val="Table Grid"/>
    <w:basedOn w:val="Normlnatabuka"/>
    <w:uiPriority w:val="59"/>
    <w:rsid w:val="00DB69CD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lny"/>
    <w:rsid w:val="00DB69CD"/>
    <w:pPr>
      <w:autoSpaceDE w:val="0"/>
      <w:autoSpaceDN w:val="0"/>
      <w:spacing w:after="0" w:line="240" w:lineRule="auto"/>
    </w:pPr>
    <w:rPr>
      <w:rFonts w:ascii="Book Antiqua" w:eastAsiaTheme="minorHAnsi" w:hAnsi="Book Antiqua" w:cs="Times New Roman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atacube.statistics.sk" TargetMode="External"/><Relationship Id="rId5" Type="http://schemas.openxmlformats.org/officeDocument/2006/relationships/hyperlink" Target="https://www.minv.sk/?informacia-o-udeleni-a-strate-statneho-obcianstva-sr" TargetMode="External"/><Relationship Id="rId4" Type="http://schemas.openxmlformats.org/officeDocument/2006/relationships/hyperlink" Target="http://hdr.undp.org/en/statistics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SUSR</Company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Vachová Martina</dc:creator>
  <cp:keywords/>
  <dc:description/>
  <cp:lastModifiedBy>Vachová Martina</cp:lastModifiedBy>
  <cp:revision>1</cp:revision>
  <dcterms:created xsi:type="dcterms:W3CDTF">2026-04-28T07:49:00Z</dcterms:created>
  <dcterms:modified xsi:type="dcterms:W3CDTF">2026-04-28T07:52:00Z</dcterms:modified>
</cp:coreProperties>
</file>