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6" w:type="dxa"/>
        <w:tblInd w:w="113" w:type="dxa"/>
        <w:tblLook w:val="04A0"/>
      </w:tblPr>
      <w:tblGrid>
        <w:gridCol w:w="959"/>
        <w:gridCol w:w="5755"/>
        <w:gridCol w:w="2722"/>
      </w:tblGrid>
      <w:tr w:rsidR="006F515C" w:rsidRPr="00192FDC" w:rsidTr="003D346F">
        <w:trPr>
          <w:trHeight w:val="1550"/>
        </w:trPr>
        <w:tc>
          <w:tcPr>
            <w:tcW w:w="9436" w:type="dxa"/>
            <w:gridSpan w:val="3"/>
            <w:shd w:val="clear" w:color="auto" w:fill="auto"/>
          </w:tcPr>
          <w:p w:rsidR="006F515C" w:rsidRPr="00192FDC" w:rsidRDefault="006F515C" w:rsidP="003D346F">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6F515C" w:rsidRPr="00FD2456" w:rsidRDefault="00FD2456" w:rsidP="00897B03">
            <w:pPr>
              <w:rPr>
                <w:rFonts w:ascii="Arial" w:hAnsi="Arial" w:cs="Arial"/>
                <w:sz w:val="22"/>
                <w:szCs w:val="22"/>
              </w:rPr>
            </w:pPr>
            <w:r w:rsidRPr="00FD2456">
              <w:rPr>
                <w:rFonts w:ascii="Arial" w:hAnsi="Arial" w:cs="Arial"/>
                <w:sz w:val="22"/>
                <w:szCs w:val="22"/>
              </w:rPr>
              <w:t>0307</w:t>
            </w:r>
            <w:r w:rsidR="00897B03">
              <w:rPr>
                <w:rFonts w:ascii="Arial" w:hAnsi="Arial" w:cs="Arial"/>
                <w:sz w:val="22"/>
                <w:szCs w:val="22"/>
              </w:rPr>
              <w:t>20</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6F515C" w:rsidRPr="00192FDC" w:rsidRDefault="006F515C" w:rsidP="006F515C">
            <w:pPr>
              <w:rPr>
                <w:rFonts w:ascii="Arial" w:hAnsi="Arial" w:cs="Arial"/>
              </w:rPr>
            </w:pPr>
            <w:r>
              <w:rPr>
                <w:rFonts w:ascii="Arial" w:hAnsi="Arial" w:cs="Arial"/>
                <w:sz w:val="22"/>
              </w:rPr>
              <w:t>Ceny</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6F515C" w:rsidRPr="00192FDC" w:rsidRDefault="009F7455" w:rsidP="009F7455">
            <w:pPr>
              <w:rPr>
                <w:rFonts w:ascii="Arial" w:hAnsi="Arial" w:cs="Arial"/>
              </w:rPr>
            </w:pPr>
            <w:r>
              <w:rPr>
                <w:rFonts w:ascii="Arial" w:hAnsi="Arial" w:cs="Arial"/>
                <w:sz w:val="22"/>
              </w:rPr>
              <w:t>Jún</w:t>
            </w:r>
            <w:r w:rsidR="00FD2456">
              <w:rPr>
                <w:rFonts w:ascii="Arial" w:hAnsi="Arial" w:cs="Arial"/>
                <w:sz w:val="22"/>
              </w:rPr>
              <w:t xml:space="preserve"> </w:t>
            </w:r>
            <w:r w:rsidR="006F515C">
              <w:rPr>
                <w:rFonts w:ascii="Arial" w:hAnsi="Arial" w:cs="Arial"/>
                <w:sz w:val="22"/>
              </w:rPr>
              <w:t xml:space="preserve"> 20</w:t>
            </w:r>
            <w:r w:rsidR="00897B03">
              <w:rPr>
                <w:rFonts w:ascii="Arial" w:hAnsi="Arial" w:cs="Arial"/>
                <w:sz w:val="22"/>
              </w:rPr>
              <w:t>20</w:t>
            </w:r>
          </w:p>
        </w:tc>
      </w:tr>
      <w:tr w:rsidR="006F515C" w:rsidRPr="00192FDC" w:rsidTr="003D346F">
        <w:trPr>
          <w:trHeight w:val="10169"/>
        </w:trPr>
        <w:tc>
          <w:tcPr>
            <w:tcW w:w="9436" w:type="dxa"/>
            <w:gridSpan w:val="3"/>
            <w:shd w:val="clear" w:color="auto" w:fill="auto"/>
          </w:tcPr>
          <w:p w:rsidR="006F515C" w:rsidRPr="00FA116E" w:rsidRDefault="006F515C" w:rsidP="003D346F">
            <w:pPr>
              <w:pStyle w:val="Zkladntext21"/>
              <w:ind w:right="431"/>
              <w:rPr>
                <w:rFonts w:ascii="Arial" w:hAnsi="Arial" w:cs="Arial"/>
                <w:color w:val="555655"/>
                <w:sz w:val="60"/>
                <w:szCs w:val="60"/>
              </w:rPr>
            </w:pPr>
          </w:p>
          <w:p w:rsidR="006F515C" w:rsidRPr="00FA116E" w:rsidRDefault="006F515C" w:rsidP="003D346F">
            <w:pPr>
              <w:pStyle w:val="Zkladntext21"/>
              <w:ind w:right="431"/>
              <w:rPr>
                <w:rFonts w:ascii="Arial" w:hAnsi="Arial" w:cs="Arial"/>
                <w:color w:val="555655"/>
                <w:sz w:val="60"/>
                <w:szCs w:val="60"/>
              </w:rPr>
            </w:pPr>
          </w:p>
          <w:p w:rsidR="006F515C" w:rsidRPr="00FA116E" w:rsidRDefault="006F515C" w:rsidP="003D346F">
            <w:pPr>
              <w:pStyle w:val="Zkladntext21"/>
              <w:ind w:right="431"/>
              <w:rPr>
                <w:rFonts w:ascii="Arial" w:hAnsi="Arial" w:cs="Arial"/>
                <w:color w:val="555655"/>
                <w:sz w:val="60"/>
                <w:szCs w:val="60"/>
              </w:rPr>
            </w:pPr>
          </w:p>
          <w:p w:rsidR="006F515C" w:rsidRPr="004A012A" w:rsidRDefault="006F515C" w:rsidP="006F515C">
            <w:pPr>
              <w:pStyle w:val="Zkladntext21"/>
              <w:ind w:left="29" w:right="431"/>
              <w:rPr>
                <w:rFonts w:ascii="Arial" w:hAnsi="Arial" w:cs="Arial"/>
                <w:b/>
                <w:sz w:val="64"/>
                <w:szCs w:val="64"/>
              </w:rPr>
            </w:pPr>
            <w:r w:rsidRPr="004A012A">
              <w:rPr>
                <w:rFonts w:ascii="Arial" w:hAnsi="Arial" w:cs="Arial"/>
                <w:sz w:val="64"/>
                <w:szCs w:val="64"/>
              </w:rPr>
              <w:t>Indexy cien stavebných prác, materiálov a výrobkov spotrebovávaných v stavebníctve SR</w:t>
            </w:r>
          </w:p>
          <w:p w:rsidR="006F515C" w:rsidRPr="00192FDC" w:rsidRDefault="006F515C" w:rsidP="003D346F">
            <w:pPr>
              <w:pStyle w:val="Zkladntext21"/>
              <w:ind w:right="431"/>
              <w:rPr>
                <w:rFonts w:ascii="Arial" w:hAnsi="Arial" w:cs="Arial"/>
                <w:color w:val="555655"/>
                <w:sz w:val="64"/>
                <w:szCs w:val="64"/>
              </w:rPr>
            </w:pPr>
            <w:r w:rsidRPr="00192FDC">
              <w:rPr>
                <w:rFonts w:ascii="Arial" w:hAnsi="Arial" w:cs="Arial"/>
                <w:color w:val="555655"/>
                <w:sz w:val="64"/>
                <w:szCs w:val="64"/>
              </w:rPr>
              <w:t xml:space="preserve"> </w:t>
            </w:r>
          </w:p>
          <w:p w:rsidR="006F515C" w:rsidRPr="00192FDC" w:rsidRDefault="006F515C" w:rsidP="003D346F">
            <w:pPr>
              <w:pStyle w:val="Zkladntext21"/>
              <w:ind w:right="431"/>
              <w:rPr>
                <w:rFonts w:ascii="Arial" w:hAnsi="Arial" w:cs="Arial"/>
                <w:color w:val="555655"/>
                <w:sz w:val="64"/>
                <w:szCs w:val="64"/>
              </w:rPr>
            </w:pPr>
          </w:p>
          <w:p w:rsidR="006F515C" w:rsidRDefault="006F515C" w:rsidP="006F515C">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i</w:t>
            </w:r>
            <w:r>
              <w:rPr>
                <w:rFonts w:ascii="Arial" w:hAnsi="Arial" w:cs="Arial"/>
                <w:color w:val="888888"/>
                <w:sz w:val="46"/>
                <w:szCs w:val="46"/>
              </w:rPr>
              <w:t>ndices</w:t>
            </w:r>
            <w:proofErr w:type="spellEnd"/>
            <w:r>
              <w:rPr>
                <w:rFonts w:ascii="Arial" w:hAnsi="Arial" w:cs="Arial"/>
                <w:color w:val="888888"/>
                <w:sz w:val="46"/>
                <w:szCs w:val="46"/>
              </w:rPr>
              <w:t xml:space="preserve"> </w:t>
            </w:r>
            <w:proofErr w:type="spellStart"/>
            <w:r>
              <w:rPr>
                <w:rFonts w:ascii="Arial" w:hAnsi="Arial" w:cs="Arial"/>
                <w:color w:val="888888"/>
                <w:sz w:val="46"/>
                <w:szCs w:val="46"/>
              </w:rPr>
              <w:t>of</w:t>
            </w:r>
            <w:proofErr w:type="spellEnd"/>
            <w:r>
              <w:rPr>
                <w:rFonts w:ascii="Arial" w:hAnsi="Arial" w:cs="Arial"/>
                <w:color w:val="888888"/>
                <w:sz w:val="46"/>
                <w:szCs w:val="46"/>
              </w:rPr>
              <w:t xml:space="preserve"> </w:t>
            </w:r>
            <w:proofErr w:type="spellStart"/>
            <w:r w:rsidR="00BB6417">
              <w:rPr>
                <w:rFonts w:ascii="Arial" w:hAnsi="Arial" w:cs="Arial"/>
                <w:color w:val="888888"/>
                <w:sz w:val="46"/>
                <w:szCs w:val="46"/>
              </w:rPr>
              <w:t>c</w:t>
            </w:r>
            <w:r>
              <w:rPr>
                <w:rFonts w:ascii="Arial" w:hAnsi="Arial" w:cs="Arial"/>
                <w:color w:val="888888"/>
                <w:sz w:val="46"/>
                <w:szCs w:val="46"/>
              </w:rPr>
              <w:t>onstruction</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w</w:t>
            </w:r>
            <w:r>
              <w:rPr>
                <w:rFonts w:ascii="Arial" w:hAnsi="Arial" w:cs="Arial"/>
                <w:color w:val="888888"/>
                <w:sz w:val="46"/>
                <w:szCs w:val="46"/>
              </w:rPr>
              <w:t>orks</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m</w:t>
            </w:r>
            <w:r>
              <w:rPr>
                <w:rFonts w:ascii="Arial" w:hAnsi="Arial" w:cs="Arial"/>
                <w:color w:val="888888"/>
                <w:sz w:val="46"/>
                <w:szCs w:val="46"/>
              </w:rPr>
              <w:t>aterials</w:t>
            </w:r>
            <w:proofErr w:type="spellEnd"/>
            <w:r>
              <w:rPr>
                <w:rFonts w:ascii="Arial" w:hAnsi="Arial" w:cs="Arial"/>
                <w:color w:val="888888"/>
                <w:sz w:val="46"/>
                <w:szCs w:val="46"/>
              </w:rPr>
              <w:t xml:space="preserve"> and </w:t>
            </w:r>
            <w:proofErr w:type="spellStart"/>
            <w:r w:rsidR="006A6FE8">
              <w:rPr>
                <w:rFonts w:ascii="Arial" w:hAnsi="Arial" w:cs="Arial"/>
                <w:color w:val="888888"/>
                <w:sz w:val="46"/>
                <w:szCs w:val="46"/>
              </w:rPr>
              <w:t>c</w:t>
            </w:r>
            <w:r>
              <w:rPr>
                <w:rFonts w:ascii="Arial" w:hAnsi="Arial" w:cs="Arial"/>
                <w:color w:val="888888"/>
                <w:sz w:val="46"/>
                <w:szCs w:val="46"/>
              </w:rPr>
              <w:t>omponents</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u</w:t>
            </w:r>
            <w:r>
              <w:rPr>
                <w:rFonts w:ascii="Arial" w:hAnsi="Arial" w:cs="Arial"/>
                <w:color w:val="888888"/>
                <w:sz w:val="46"/>
                <w:szCs w:val="46"/>
              </w:rPr>
              <w:t>sed</w:t>
            </w:r>
            <w:proofErr w:type="spellEnd"/>
          </w:p>
          <w:p w:rsidR="006F515C" w:rsidRDefault="006F515C" w:rsidP="006F515C">
            <w:pPr>
              <w:pStyle w:val="Zkladntext21"/>
              <w:tabs>
                <w:tab w:val="left" w:pos="1701"/>
              </w:tabs>
              <w:ind w:right="431"/>
              <w:rPr>
                <w:rFonts w:ascii="Arial" w:hAnsi="Arial" w:cs="Arial"/>
                <w:color w:val="888888"/>
                <w:sz w:val="46"/>
                <w:szCs w:val="46"/>
              </w:rPr>
            </w:pPr>
            <w:r>
              <w:rPr>
                <w:rFonts w:ascii="Arial" w:hAnsi="Arial" w:cs="Arial"/>
                <w:color w:val="888888"/>
                <w:sz w:val="46"/>
                <w:szCs w:val="46"/>
              </w:rPr>
              <w:t xml:space="preserve">in </w:t>
            </w:r>
            <w:proofErr w:type="spellStart"/>
            <w:r w:rsidR="006A6FE8">
              <w:rPr>
                <w:rFonts w:ascii="Arial" w:hAnsi="Arial" w:cs="Arial"/>
                <w:color w:val="888888"/>
                <w:sz w:val="46"/>
                <w:szCs w:val="46"/>
              </w:rPr>
              <w:t>c</w:t>
            </w:r>
            <w:r>
              <w:rPr>
                <w:rFonts w:ascii="Arial" w:hAnsi="Arial" w:cs="Arial"/>
                <w:color w:val="888888"/>
                <w:sz w:val="46"/>
                <w:szCs w:val="46"/>
              </w:rPr>
              <w:t>onstruction</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i</w:t>
            </w:r>
            <w:r>
              <w:rPr>
                <w:rFonts w:ascii="Arial" w:hAnsi="Arial" w:cs="Arial"/>
                <w:color w:val="888888"/>
                <w:sz w:val="46"/>
                <w:szCs w:val="46"/>
              </w:rPr>
              <w:t>ndustry</w:t>
            </w:r>
            <w:proofErr w:type="spellEnd"/>
          </w:p>
          <w:p w:rsidR="006F515C" w:rsidRPr="00192FDC" w:rsidRDefault="006F515C" w:rsidP="006F515C">
            <w:pPr>
              <w:pStyle w:val="Zkladntext21"/>
              <w:tabs>
                <w:tab w:val="left" w:pos="1701"/>
              </w:tabs>
              <w:ind w:right="431"/>
              <w:rPr>
                <w:rFonts w:ascii="Arial" w:hAnsi="Arial" w:cs="Arial"/>
              </w:rPr>
            </w:pPr>
            <w:proofErr w:type="spellStart"/>
            <w:r>
              <w:rPr>
                <w:rFonts w:ascii="Arial" w:hAnsi="Arial" w:cs="Arial"/>
                <w:color w:val="888888"/>
                <w:sz w:val="46"/>
                <w:szCs w:val="46"/>
              </w:rPr>
              <w:t>of</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6F515C" w:rsidRDefault="009F7455" w:rsidP="003D346F">
            <w:pPr>
              <w:spacing w:line="192" w:lineRule="auto"/>
              <w:jc w:val="right"/>
              <w:rPr>
                <w:rFonts w:ascii="Arial" w:hAnsi="Arial" w:cs="Arial"/>
                <w:color w:val="555655"/>
                <w:sz w:val="64"/>
                <w:szCs w:val="64"/>
              </w:rPr>
            </w:pPr>
            <w:r>
              <w:rPr>
                <w:rFonts w:ascii="Arial" w:hAnsi="Arial" w:cs="Arial"/>
                <w:color w:val="555655"/>
                <w:sz w:val="64"/>
                <w:szCs w:val="64"/>
              </w:rPr>
              <w:t>5</w:t>
            </w:r>
          </w:p>
          <w:p w:rsidR="006F515C" w:rsidRPr="00192FDC" w:rsidRDefault="006F515C" w:rsidP="00897B03">
            <w:pPr>
              <w:spacing w:line="192" w:lineRule="auto"/>
              <w:jc w:val="right"/>
              <w:rPr>
                <w:rFonts w:ascii="Arial" w:hAnsi="Arial" w:cs="Arial"/>
              </w:rPr>
            </w:pPr>
            <w:r>
              <w:rPr>
                <w:rFonts w:ascii="Arial" w:hAnsi="Arial" w:cs="Arial"/>
                <w:color w:val="555655"/>
                <w:sz w:val="64"/>
                <w:szCs w:val="64"/>
              </w:rPr>
              <w:t>20</w:t>
            </w:r>
            <w:r w:rsidR="00897B03">
              <w:rPr>
                <w:rFonts w:ascii="Arial" w:hAnsi="Arial" w:cs="Arial"/>
                <w:color w:val="555655"/>
                <w:sz w:val="64"/>
                <w:szCs w:val="64"/>
              </w:rPr>
              <w:t>20</w:t>
            </w:r>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rsidR="006F515C" w:rsidRPr="00192FDC" w:rsidRDefault="006F515C" w:rsidP="003D346F">
            <w:pPr>
              <w:rPr>
                <w:rFonts w:ascii="Arial" w:hAnsi="Arial" w:cs="Arial"/>
              </w:rPr>
            </w:pPr>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Odbor </w:t>
            </w:r>
            <w:r>
              <w:rPr>
                <w:rFonts w:ascii="Arial" w:hAnsi="Arial" w:cs="Arial"/>
                <w:sz w:val="22"/>
              </w:rPr>
              <w:t>cenových štatistík</w:t>
            </w:r>
          </w:p>
        </w:tc>
        <w:tc>
          <w:tcPr>
            <w:tcW w:w="2722" w:type="dxa"/>
            <w:vMerge/>
            <w:shd w:val="clear" w:color="auto" w:fill="auto"/>
          </w:tcPr>
          <w:p w:rsidR="006F515C" w:rsidRPr="00192FDC" w:rsidRDefault="006F515C" w:rsidP="003D346F">
            <w:pPr>
              <w:rPr>
                <w:rFonts w:ascii="Arial" w:hAnsi="Arial" w:cs="Arial"/>
              </w:rPr>
            </w:pPr>
          </w:p>
        </w:tc>
      </w:tr>
      <w:tr w:rsidR="006F515C" w:rsidRPr="00192FDC" w:rsidTr="003D346F">
        <w:trPr>
          <w:trHeight w:val="300"/>
        </w:trPr>
        <w:tc>
          <w:tcPr>
            <w:tcW w:w="6714" w:type="dxa"/>
            <w:gridSpan w:val="2"/>
            <w:shd w:val="clear" w:color="auto" w:fill="auto"/>
            <w:vAlign w:val="center"/>
          </w:tcPr>
          <w:p w:rsidR="006F515C" w:rsidRPr="00192FDC" w:rsidRDefault="006F515C" w:rsidP="007D63A9">
            <w:pPr>
              <w:rPr>
                <w:rFonts w:ascii="Arial" w:hAnsi="Arial" w:cs="Arial"/>
                <w:sz w:val="22"/>
              </w:rPr>
            </w:pPr>
            <w:r w:rsidRPr="00192FDC">
              <w:rPr>
                <w:rFonts w:ascii="Arial" w:hAnsi="Arial" w:cs="Arial"/>
                <w:sz w:val="22"/>
              </w:rPr>
              <w:t xml:space="preserve">Kontaktná osoba: </w:t>
            </w:r>
            <w:r w:rsidR="007D63A9">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6 </w:t>
            </w:r>
            <w:r>
              <w:rPr>
                <w:rFonts w:ascii="Arial" w:hAnsi="Arial" w:cs="Arial"/>
                <w:sz w:val="22"/>
              </w:rPr>
              <w:t>52</w:t>
            </w:r>
            <w:r w:rsidR="007D63A9">
              <w:rPr>
                <w:rFonts w:ascii="Arial" w:hAnsi="Arial" w:cs="Arial"/>
                <w:sz w:val="22"/>
              </w:rPr>
              <w:t>5</w:t>
            </w:r>
          </w:p>
        </w:tc>
        <w:tc>
          <w:tcPr>
            <w:tcW w:w="2722" w:type="dxa"/>
            <w:vMerge/>
            <w:shd w:val="clear" w:color="auto" w:fill="auto"/>
          </w:tcPr>
          <w:p w:rsidR="006F515C" w:rsidRPr="00192FDC" w:rsidRDefault="006F515C" w:rsidP="003D346F">
            <w:pPr>
              <w:rPr>
                <w:rFonts w:ascii="Arial" w:hAnsi="Arial" w:cs="Arial"/>
              </w:rPr>
            </w:pPr>
          </w:p>
        </w:tc>
      </w:tr>
    </w:tbl>
    <w:p w:rsidR="006F515C" w:rsidRPr="00917608" w:rsidRDefault="00A12F1C" w:rsidP="006F515C">
      <w:pPr>
        <w:spacing w:after="120" w:line="276" w:lineRule="auto"/>
        <w:rPr>
          <w:rFonts w:ascii="Arial" w:hAnsi="Arial" w:cs="Arial"/>
          <w:b/>
          <w:bCs/>
          <w:color w:val="555655"/>
          <w:sz w:val="22"/>
          <w:szCs w:val="22"/>
        </w:rPr>
      </w:pPr>
      <w:r w:rsidRPr="00A12F1C">
        <w:rPr>
          <w:rFonts w:ascii="Arial" w:hAnsi="Arial" w:cs="Arial"/>
          <w:b/>
          <w:noProof/>
          <w:color w:val="555655"/>
          <w:sz w:val="22"/>
          <w:szCs w:val="22"/>
        </w:rPr>
        <w:lastRenderedPageBrea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18.6pt;z-index:251660288;visibility:visible;mso-height-percent:200;mso-wrap-distance-top:3.6pt;mso-wrap-distance-bottom:3.6pt;mso-position-horizontal-relative:text;mso-position-vertical-relative:text;mso-height-percent:200;mso-width-relative:margin;mso-height-relative:margin" filled="f" stroked="f">
            <v:textbox style="mso-next-textbox:#Textové pole 2;mso-fit-shape-to-text:t">
              <w:txbxContent>
                <w:p w:rsidR="006F515C" w:rsidRDefault="006F515C" w:rsidP="006F515C">
                  <w:r w:rsidRPr="00E67C8D">
                    <w:rPr>
                      <w:rFonts w:ascii="Arial" w:hAnsi="Arial" w:cs="Arial"/>
                    </w:rPr>
                    <w:t>Vzor vstupného listu na dvoch stranách</w:t>
                  </w:r>
                </w:p>
              </w:txbxContent>
            </v:textbox>
          </v:shape>
        </w:pict>
      </w:r>
      <w:r w:rsidR="006F515C" w:rsidRPr="00917608">
        <w:rPr>
          <w:rFonts w:ascii="Arial" w:hAnsi="Arial" w:cs="Arial"/>
          <w:b/>
          <w:bCs/>
          <w:color w:val="555655"/>
          <w:sz w:val="22"/>
          <w:szCs w:val="22"/>
        </w:rPr>
        <w:t xml:space="preserve">ZVEREJŇOVANIE VYBRANÝCH ÚDAJOV ŠTATISTICKÉHO ÚRADU SR </w:t>
      </w:r>
    </w:p>
    <w:p w:rsidR="006F515C" w:rsidRPr="00E5706F" w:rsidRDefault="006F515C" w:rsidP="006F515C">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5" w:history="1">
        <w:r w:rsidRPr="00061FEB">
          <w:rPr>
            <w:rStyle w:val="Hypertextovodkaz"/>
            <w:rFonts w:ascii="Arial" w:hAnsi="Arial" w:cs="Arial"/>
            <w:color w:val="1E4E9D"/>
            <w:sz w:val="22"/>
            <w:szCs w:val="22"/>
            <w:u w:val="none"/>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w:t>
      </w:r>
      <w:proofErr w:type="spellStart"/>
      <w:r w:rsidRPr="00E5706F">
        <w:rPr>
          <w:rFonts w:ascii="Arial" w:hAnsi="Arial" w:cs="Arial"/>
          <w:sz w:val="22"/>
          <w:szCs w:val="22"/>
        </w:rPr>
        <w:t>upresnenia</w:t>
      </w:r>
      <w:proofErr w:type="spellEnd"/>
      <w:r w:rsidRPr="00E5706F">
        <w:rPr>
          <w:rFonts w:ascii="Arial" w:hAnsi="Arial" w:cs="Arial"/>
          <w:sz w:val="22"/>
          <w:szCs w:val="22"/>
        </w:rPr>
        <w:t xml:space="preserve"> termínov za kategóriu </w:t>
      </w:r>
      <w:r w:rsidR="002136D4">
        <w:rPr>
          <w:rFonts w:ascii="Arial" w:hAnsi="Arial" w:cs="Arial"/>
          <w:sz w:val="22"/>
          <w:szCs w:val="22"/>
        </w:rPr>
        <w:t xml:space="preserve">indexy </w:t>
      </w:r>
      <w:r>
        <w:rPr>
          <w:rFonts w:ascii="Arial" w:hAnsi="Arial" w:cs="Arial"/>
          <w:sz w:val="22"/>
          <w:szCs w:val="22"/>
        </w:rPr>
        <w:t>c</w:t>
      </w:r>
      <w:r w:rsidR="002136D4">
        <w:rPr>
          <w:rFonts w:ascii="Arial" w:hAnsi="Arial" w:cs="Arial"/>
          <w:sz w:val="22"/>
          <w:szCs w:val="22"/>
        </w:rPr>
        <w:t>i</w:t>
      </w:r>
      <w:r>
        <w:rPr>
          <w:rFonts w:ascii="Arial" w:hAnsi="Arial" w:cs="Arial"/>
          <w:sz w:val="22"/>
          <w:szCs w:val="22"/>
        </w:rPr>
        <w:t>en</w:t>
      </w:r>
      <w:r w:rsidR="002136D4">
        <w:rPr>
          <w:rFonts w:ascii="Arial" w:hAnsi="Arial" w:cs="Arial"/>
          <w:sz w:val="22"/>
          <w:szCs w:val="22"/>
        </w:rPr>
        <w:t xml:space="preserve"> stavebných prác</w:t>
      </w:r>
      <w:r w:rsidRPr="00E5706F">
        <w:rPr>
          <w:rFonts w:ascii="Arial" w:hAnsi="Arial" w:cs="Arial"/>
          <w:sz w:val="22"/>
          <w:szCs w:val="22"/>
        </w:rPr>
        <w:t xml:space="preserve"> sú zverejnené na uvedenom internetovom portáli vopred.</w:t>
      </w:r>
    </w:p>
    <w:p w:rsidR="006F515C" w:rsidRPr="00061FEB" w:rsidRDefault="006F515C" w:rsidP="006F515C">
      <w:pPr>
        <w:spacing w:line="276" w:lineRule="auto"/>
        <w:jc w:val="both"/>
        <w:rPr>
          <w:rFonts w:ascii="Arial" w:hAnsi="Arial" w:cs="Arial"/>
          <w:sz w:val="22"/>
          <w:szCs w:val="22"/>
        </w:rPr>
      </w:pPr>
    </w:p>
    <w:p w:rsidR="006F515C" w:rsidRPr="00917608" w:rsidRDefault="006F515C" w:rsidP="006F515C">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6F515C" w:rsidRPr="00E5706F" w:rsidRDefault="006F515C" w:rsidP="006F515C">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6" w:history="1">
        <w:r w:rsidRPr="00061FEB">
          <w:rPr>
            <w:rStyle w:val="Hypertextovodkaz"/>
            <w:rFonts w:ascii="Arial" w:hAnsi="Arial" w:cs="Arial"/>
            <w:color w:val="1E4E9D"/>
            <w:sz w:val="22"/>
            <w:szCs w:val="22"/>
            <w:u w:val="none"/>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002136D4">
        <w:rPr>
          <w:rFonts w:ascii="Arial" w:hAnsi="Arial" w:cs="Arial"/>
          <w:sz w:val="22"/>
          <w:szCs w:val="22"/>
        </w:rPr>
        <w:t>price</w:t>
      </w:r>
      <w:proofErr w:type="spellEnd"/>
      <w:r w:rsidR="002136D4">
        <w:rPr>
          <w:rFonts w:ascii="Arial" w:hAnsi="Arial" w:cs="Arial"/>
          <w:sz w:val="22"/>
          <w:szCs w:val="22"/>
        </w:rPr>
        <w:t xml:space="preserve"> </w:t>
      </w:r>
      <w:proofErr w:type="spellStart"/>
      <w:r w:rsidR="002136D4">
        <w:rPr>
          <w:rFonts w:ascii="Arial" w:hAnsi="Arial" w:cs="Arial"/>
          <w:sz w:val="22"/>
          <w:szCs w:val="22"/>
        </w:rPr>
        <w:t>indices</w:t>
      </w:r>
      <w:proofErr w:type="spellEnd"/>
      <w:r w:rsidRPr="00E5706F">
        <w:rPr>
          <w:rFonts w:ascii="Arial" w:hAnsi="Arial" w:cs="Arial"/>
          <w:sz w:val="22"/>
          <w:szCs w:val="22"/>
        </w:rPr>
        <w:t xml:space="preserve"> </w:t>
      </w:r>
      <w:proofErr w:type="spellStart"/>
      <w:r w:rsidR="002136D4">
        <w:rPr>
          <w:rFonts w:ascii="Arial" w:hAnsi="Arial" w:cs="Arial"/>
          <w:sz w:val="22"/>
          <w:szCs w:val="22"/>
        </w:rPr>
        <w:t>of</w:t>
      </w:r>
      <w:proofErr w:type="spellEnd"/>
      <w:r w:rsidR="002136D4">
        <w:rPr>
          <w:rFonts w:ascii="Arial" w:hAnsi="Arial" w:cs="Arial"/>
          <w:sz w:val="22"/>
          <w:szCs w:val="22"/>
        </w:rPr>
        <w:t xml:space="preserve"> </w:t>
      </w:r>
      <w:proofErr w:type="spellStart"/>
      <w:r w:rsidR="002136D4">
        <w:rPr>
          <w:rFonts w:ascii="Arial" w:hAnsi="Arial" w:cs="Arial"/>
          <w:sz w:val="22"/>
          <w:szCs w:val="22"/>
        </w:rPr>
        <w:t>construction</w:t>
      </w:r>
      <w:proofErr w:type="spellEnd"/>
      <w:r w:rsidR="002136D4">
        <w:rPr>
          <w:rFonts w:ascii="Arial" w:hAnsi="Arial" w:cs="Arial"/>
          <w:sz w:val="22"/>
          <w:szCs w:val="22"/>
        </w:rPr>
        <w:t xml:space="preserve"> </w:t>
      </w:r>
      <w:proofErr w:type="spellStart"/>
      <w:r w:rsidR="002136D4">
        <w:rPr>
          <w:rFonts w:ascii="Arial" w:hAnsi="Arial" w:cs="Arial"/>
          <w:sz w:val="22"/>
          <w:szCs w:val="22"/>
        </w:rPr>
        <w:t>works</w:t>
      </w:r>
      <w:proofErr w:type="spellEnd"/>
      <w:r w:rsidR="002136D4">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6F515C" w:rsidRPr="00E67C8D"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Pr="00E67C8D" w:rsidRDefault="006F515C" w:rsidP="006F515C">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002136D4">
        <w:rPr>
          <w:rFonts w:ascii="Arial" w:hAnsi="Arial" w:cs="Arial"/>
          <w:b/>
          <w:bCs/>
          <w:sz w:val="22"/>
        </w:rPr>
        <w:t>Andrea Veselská</w:t>
      </w:r>
    </w:p>
    <w:p w:rsidR="006F515C" w:rsidRPr="00E67C8D" w:rsidRDefault="006F515C" w:rsidP="006F515C">
      <w:pPr>
        <w:tabs>
          <w:tab w:val="left" w:pos="5529"/>
        </w:tabs>
        <w:spacing w:line="276" w:lineRule="auto"/>
        <w:rPr>
          <w:rFonts w:ascii="Arial" w:hAnsi="Arial" w:cs="Arial"/>
          <w:sz w:val="22"/>
        </w:rPr>
      </w:pPr>
    </w:p>
    <w:p w:rsidR="006F515C" w:rsidRDefault="006F515C" w:rsidP="006F515C">
      <w:pPr>
        <w:tabs>
          <w:tab w:val="left" w:pos="5529"/>
        </w:tabs>
        <w:spacing w:line="276" w:lineRule="auto"/>
        <w:rPr>
          <w:rFonts w:ascii="Arial" w:hAnsi="Arial" w:cs="Arial"/>
          <w:sz w:val="22"/>
          <w:szCs w:val="22"/>
        </w:rPr>
      </w:pPr>
    </w:p>
    <w:p w:rsidR="007D63A9" w:rsidRDefault="007D63A9" w:rsidP="006F515C">
      <w:pPr>
        <w:tabs>
          <w:tab w:val="left" w:pos="5529"/>
        </w:tabs>
        <w:spacing w:line="276" w:lineRule="auto"/>
        <w:rPr>
          <w:rFonts w:ascii="Arial" w:hAnsi="Arial" w:cs="Arial"/>
          <w:sz w:val="22"/>
          <w:szCs w:val="22"/>
        </w:rPr>
      </w:pPr>
    </w:p>
    <w:p w:rsidR="006F515C" w:rsidRDefault="006F515C" w:rsidP="006F515C">
      <w:pPr>
        <w:tabs>
          <w:tab w:val="left" w:pos="5529"/>
        </w:tabs>
        <w:spacing w:line="276" w:lineRule="auto"/>
        <w:rPr>
          <w:rFonts w:ascii="Arial" w:hAnsi="Arial" w:cs="Arial"/>
          <w:sz w:val="22"/>
          <w:szCs w:val="22"/>
        </w:rPr>
      </w:pPr>
    </w:p>
    <w:p w:rsidR="006F515C" w:rsidRDefault="006F515C" w:rsidP="006F515C">
      <w:pPr>
        <w:tabs>
          <w:tab w:val="left" w:pos="5529"/>
        </w:tabs>
        <w:spacing w:line="276" w:lineRule="auto"/>
        <w:rPr>
          <w:rFonts w:ascii="Arial" w:hAnsi="Arial" w:cs="Arial"/>
          <w:sz w:val="22"/>
          <w:szCs w:val="22"/>
        </w:rPr>
      </w:pPr>
    </w:p>
    <w:p w:rsidR="006F515C" w:rsidRPr="00917608" w:rsidRDefault="006F515C" w:rsidP="006F515C">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rsidR="006F515C" w:rsidRPr="00E5706F" w:rsidRDefault="006F515C" w:rsidP="006F515C">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6F515C" w:rsidRPr="00E5706F" w:rsidRDefault="006F515C" w:rsidP="006F515C">
      <w:pPr>
        <w:tabs>
          <w:tab w:val="left" w:pos="5529"/>
        </w:tabs>
        <w:spacing w:line="276" w:lineRule="auto"/>
        <w:rPr>
          <w:rFonts w:ascii="Arial" w:hAnsi="Arial" w:cs="Arial"/>
          <w:iCs/>
          <w:sz w:val="22"/>
          <w:szCs w:val="22"/>
        </w:rPr>
      </w:pPr>
      <w:proofErr w:type="spellStart"/>
      <w:r w:rsidRPr="00E5706F">
        <w:rPr>
          <w:rFonts w:ascii="Arial" w:hAnsi="Arial" w:cs="Arial"/>
          <w:iCs/>
          <w:sz w:val="22"/>
          <w:szCs w:val="22"/>
        </w:rPr>
        <w:t>Miletičova</w:t>
      </w:r>
      <w:proofErr w:type="spellEnd"/>
      <w:r w:rsidRPr="00E5706F">
        <w:rPr>
          <w:rFonts w:ascii="Arial" w:hAnsi="Arial" w:cs="Arial"/>
          <w:iCs/>
          <w:sz w:val="22"/>
          <w:szCs w:val="22"/>
        </w:rPr>
        <w:t xml:space="preserve"> 3</w:t>
      </w:r>
    </w:p>
    <w:p w:rsidR="006F515C" w:rsidRPr="00E5706F" w:rsidRDefault="006F515C" w:rsidP="006F515C">
      <w:pPr>
        <w:tabs>
          <w:tab w:val="left" w:pos="5529"/>
        </w:tabs>
        <w:spacing w:line="276" w:lineRule="auto"/>
        <w:rPr>
          <w:rFonts w:ascii="Arial" w:hAnsi="Arial" w:cs="Arial"/>
          <w:iCs/>
          <w:sz w:val="22"/>
          <w:szCs w:val="22"/>
        </w:rPr>
      </w:pPr>
      <w:r w:rsidRPr="00E5706F">
        <w:rPr>
          <w:rFonts w:ascii="Arial" w:hAnsi="Arial" w:cs="Arial"/>
          <w:iCs/>
          <w:sz w:val="22"/>
          <w:szCs w:val="22"/>
        </w:rPr>
        <w:t>824 67 Bratislava</w:t>
      </w:r>
    </w:p>
    <w:p w:rsidR="006F515C" w:rsidRPr="00E5706F" w:rsidRDefault="006F515C" w:rsidP="006F515C">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6F515C" w:rsidRPr="00E5706F" w:rsidRDefault="006F515C" w:rsidP="006F515C">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6F515C" w:rsidRDefault="00A12F1C" w:rsidP="006F515C">
      <w:pPr>
        <w:tabs>
          <w:tab w:val="left" w:pos="5529"/>
        </w:tabs>
        <w:spacing w:line="276" w:lineRule="auto"/>
        <w:rPr>
          <w:rFonts w:ascii="Arial" w:hAnsi="Arial" w:cs="Arial"/>
          <w:iCs/>
          <w:color w:val="1E4E9D"/>
          <w:sz w:val="22"/>
          <w:szCs w:val="22"/>
        </w:rPr>
      </w:pPr>
      <w:hyperlink r:id="rId7" w:history="1">
        <w:r w:rsidR="006F515C" w:rsidRPr="00061FEB">
          <w:rPr>
            <w:rStyle w:val="Hypertextovodkaz"/>
            <w:rFonts w:ascii="Arial" w:hAnsi="Arial" w:cs="Arial"/>
            <w:iCs/>
            <w:color w:val="1E4E9D"/>
            <w:sz w:val="22"/>
            <w:szCs w:val="22"/>
            <w:u w:val="none"/>
          </w:rPr>
          <w:t>www.statistics.sk</w:t>
        </w:r>
      </w:hyperlink>
      <w:r w:rsidR="006F515C" w:rsidRPr="00061FEB">
        <w:rPr>
          <w:rFonts w:ascii="Arial" w:hAnsi="Arial" w:cs="Arial"/>
          <w:iCs/>
          <w:color w:val="1E4E9D"/>
          <w:sz w:val="22"/>
          <w:szCs w:val="22"/>
        </w:rPr>
        <w:t xml:space="preserve"> </w:t>
      </w:r>
    </w:p>
    <w:p w:rsidR="007D63A9" w:rsidRDefault="007D63A9" w:rsidP="006F515C">
      <w:pPr>
        <w:tabs>
          <w:tab w:val="left" w:pos="5529"/>
        </w:tabs>
        <w:spacing w:line="276" w:lineRule="auto"/>
        <w:rPr>
          <w:rFonts w:ascii="Arial" w:hAnsi="Arial" w:cs="Arial"/>
          <w:iCs/>
          <w:color w:val="1E4E9D"/>
          <w:sz w:val="22"/>
          <w:szCs w:val="22"/>
        </w:rPr>
      </w:pPr>
    </w:p>
    <w:p w:rsidR="007D63A9" w:rsidRPr="00061FEB" w:rsidRDefault="007D63A9" w:rsidP="006F515C">
      <w:pPr>
        <w:tabs>
          <w:tab w:val="left" w:pos="5529"/>
        </w:tabs>
        <w:spacing w:line="276" w:lineRule="auto"/>
        <w:rPr>
          <w:rFonts w:ascii="Arial" w:hAnsi="Arial" w:cs="Arial"/>
          <w:iCs/>
          <w:color w:val="1E4E9D"/>
          <w:sz w:val="22"/>
          <w:szCs w:val="22"/>
        </w:rPr>
      </w:pPr>
    </w:p>
    <w:p w:rsidR="006F515C" w:rsidRPr="00E5706F" w:rsidRDefault="006F515C" w:rsidP="006F515C">
      <w:pPr>
        <w:tabs>
          <w:tab w:val="left" w:pos="5529"/>
        </w:tabs>
        <w:spacing w:line="276" w:lineRule="auto"/>
        <w:rPr>
          <w:rFonts w:ascii="Arial" w:hAnsi="Arial" w:cs="Arial"/>
          <w:iCs/>
          <w:sz w:val="22"/>
          <w:szCs w:val="22"/>
        </w:rPr>
      </w:pPr>
    </w:p>
    <w:p w:rsidR="006F515C" w:rsidRPr="00E5706F" w:rsidRDefault="00A12F1C" w:rsidP="006F515C">
      <w:pPr>
        <w:spacing w:before="240"/>
        <w:jc w:val="both"/>
        <w:rPr>
          <w:rFonts w:ascii="Arial" w:hAnsi="Arial" w:cs="Arial"/>
          <w:sz w:val="22"/>
          <w:szCs w:val="22"/>
        </w:rPr>
      </w:pPr>
      <w:r>
        <w:rPr>
          <w:rFonts w:ascii="Arial" w:hAnsi="Arial" w:cs="Arial"/>
          <w:noProof/>
          <w:sz w:val="22"/>
          <w:szCs w:val="22"/>
          <w:lang w:eastAsia="sk-SK"/>
        </w:rPr>
        <w:pict>
          <v:shapetype id="_x0000_t32" coordsize="21600,21600" o:spt="32" o:oned="t" path="m,l21600,21600e" filled="f">
            <v:path arrowok="t" fillok="f" o:connecttype="none"/>
            <o:lock v:ext="edit" shapetype="t"/>
          </v:shapetype>
          <v:shape id="_x0000_s1027" type="#_x0000_t32" style="position:absolute;left:0;text-align:left;margin-left:1.1pt;margin-top:.8pt;width:456.75pt;height:0;z-index:251661312" o:connectortype="straight" strokecolor="#888" strokeweight="1.3pt">
            <v:stroke dashstyle="dash"/>
            <v:shadow type="perspective" color="#375623" opacity=".5" offset="1pt" offset2="-1pt"/>
          </v:shape>
        </w:pict>
      </w:r>
      <w:r w:rsidR="006F515C" w:rsidRPr="00E5706F">
        <w:rPr>
          <w:rFonts w:ascii="Arial" w:hAnsi="Arial" w:cs="Arial"/>
          <w:sz w:val="22"/>
          <w:szCs w:val="22"/>
        </w:rPr>
        <w:t>Rozmnožovanie obsahu tejto</w:t>
      </w:r>
      <w:r w:rsidR="006F515C">
        <w:rPr>
          <w:rFonts w:ascii="Arial" w:hAnsi="Arial" w:cs="Arial"/>
          <w:sz w:val="22"/>
          <w:szCs w:val="22"/>
        </w:rPr>
        <w:t xml:space="preserve"> publikácie, ako aj jednotlivých častí,</w:t>
      </w:r>
      <w:r w:rsidR="006F515C"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6F515C" w:rsidRPr="00E5706F" w:rsidRDefault="006F515C" w:rsidP="006F515C">
      <w:pPr>
        <w:jc w:val="both"/>
        <w:rPr>
          <w:rFonts w:ascii="Arial" w:hAnsi="Arial" w:cs="Arial"/>
          <w:sz w:val="22"/>
          <w:szCs w:val="22"/>
        </w:rPr>
      </w:pPr>
    </w:p>
    <w:p w:rsidR="006F515C" w:rsidRPr="00E67C8D" w:rsidRDefault="006F515C" w:rsidP="006F515C">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lastRenderedPageBreak/>
        <w:t>O</w:t>
      </w:r>
      <w:r w:rsidR="003E4F72">
        <w:rPr>
          <w:rFonts w:ascii="Arial" w:hAnsi="Arial" w:cs="Arial"/>
          <w:b/>
          <w:sz w:val="22"/>
          <w:szCs w:val="22"/>
        </w:rPr>
        <w:t>B S A H</w:t>
      </w:r>
      <w:r w:rsidRPr="003E4F72">
        <w:rPr>
          <w:rFonts w:ascii="Arial" w:hAnsi="Arial" w:cs="Arial"/>
          <w:b/>
          <w:sz w:val="22"/>
          <w:szCs w:val="22"/>
        </w:rPr>
        <w:t xml:space="preserve"> / C </w:t>
      </w:r>
      <w:r w:rsidR="003E4F72">
        <w:rPr>
          <w:rFonts w:ascii="Arial" w:hAnsi="Arial" w:cs="Arial"/>
          <w:b/>
          <w:sz w:val="22"/>
          <w:szCs w:val="22"/>
        </w:rPr>
        <w:t>O N T E N</w:t>
      </w:r>
      <w:r w:rsidR="00FB1F64">
        <w:rPr>
          <w:rFonts w:ascii="Arial" w:hAnsi="Arial" w:cs="Arial"/>
          <w:b/>
          <w:sz w:val="22"/>
          <w:szCs w:val="22"/>
        </w:rPr>
        <w:t xml:space="preserve"> T</w:t>
      </w:r>
      <w:r w:rsidR="003E4F72">
        <w:rPr>
          <w:rFonts w:ascii="Arial" w:hAnsi="Arial" w:cs="Arial"/>
          <w:b/>
          <w:sz w:val="22"/>
          <w:szCs w:val="22"/>
        </w:rPr>
        <w:t xml:space="preserve">S                  </w:t>
      </w:r>
      <w:r w:rsidRPr="003E4F72">
        <w:rPr>
          <w:rFonts w:ascii="Arial" w:hAnsi="Arial" w:cs="Arial"/>
          <w:sz w:val="22"/>
          <w:szCs w:val="22"/>
        </w:rPr>
        <w:t xml:space="preserve">                                                strana / </w:t>
      </w:r>
      <w:proofErr w:type="spellStart"/>
      <w:r w:rsidRPr="003E4F72">
        <w:rPr>
          <w:rFonts w:ascii="Arial" w:hAnsi="Arial" w:cs="Arial"/>
          <w:sz w:val="22"/>
          <w:szCs w:val="22"/>
        </w:rPr>
        <w:t>page</w:t>
      </w:r>
      <w:proofErr w:type="spellEnd"/>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p>
    <w:p w:rsidR="00374386" w:rsidRPr="003E4F72" w:rsidRDefault="00374386" w:rsidP="00374386">
      <w:pPr>
        <w:pStyle w:val="Textpoznpodarou"/>
        <w:widowControl/>
        <w:spacing w:line="240" w:lineRule="atLeast"/>
        <w:rPr>
          <w:rFonts w:ascii="Arial" w:hAnsi="Arial" w:cs="Arial"/>
          <w:sz w:val="22"/>
          <w:szCs w:val="22"/>
          <w:lang w:val="sk-SK"/>
        </w:rPr>
      </w:pPr>
      <w:r w:rsidRPr="003E4F72">
        <w:rPr>
          <w:rFonts w:ascii="Arial" w:hAnsi="Arial" w:cs="Arial"/>
          <w:sz w:val="22"/>
          <w:szCs w:val="22"/>
          <w:lang w:val="sk-SK"/>
        </w:rPr>
        <w:t>Metodické vysvetlivky pre výpočet indexov cien</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stavebných prác (odhad) / </w:t>
      </w:r>
      <w:proofErr w:type="spellStart"/>
      <w:r w:rsidRPr="003E4F72">
        <w:rPr>
          <w:rFonts w:ascii="Arial" w:hAnsi="Arial" w:cs="Arial"/>
          <w:sz w:val="22"/>
          <w:szCs w:val="22"/>
        </w:rPr>
        <w:t>Methodological</w:t>
      </w:r>
      <w:proofErr w:type="spellEnd"/>
      <w:r w:rsidRPr="003E4F72">
        <w:rPr>
          <w:rFonts w:ascii="Arial" w:hAnsi="Arial" w:cs="Arial"/>
          <w:sz w:val="22"/>
          <w:szCs w:val="22"/>
        </w:rPr>
        <w:t xml:space="preserve"> notes </w:t>
      </w:r>
      <w:proofErr w:type="spellStart"/>
      <w:r w:rsidRPr="003E4F72">
        <w:rPr>
          <w:rFonts w:ascii="Arial" w:hAnsi="Arial" w:cs="Arial"/>
          <w:sz w:val="22"/>
          <w:szCs w:val="22"/>
        </w:rPr>
        <w:t>for</w:t>
      </w:r>
      <w:proofErr w:type="spellEnd"/>
      <w:r w:rsidRPr="003E4F72">
        <w:rPr>
          <w:rFonts w:ascii="Arial" w:hAnsi="Arial" w:cs="Arial"/>
          <w:sz w:val="22"/>
          <w:szCs w:val="22"/>
        </w:rPr>
        <w:t xml:space="preserve"> </w:t>
      </w:r>
      <w:proofErr w:type="spellStart"/>
      <w:r w:rsidRPr="003E4F72">
        <w:rPr>
          <w:rFonts w:ascii="Arial" w:hAnsi="Arial" w:cs="Arial"/>
          <w:sz w:val="22"/>
          <w:szCs w:val="22"/>
        </w:rPr>
        <w:t>calculation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b/>
          <w:sz w:val="22"/>
          <w:szCs w:val="22"/>
        </w:rPr>
      </w:pP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estimation</w:t>
      </w:r>
      <w:proofErr w:type="spellEnd"/>
      <w:r w:rsidRPr="003E4F72">
        <w:rPr>
          <w:rFonts w:ascii="Arial" w:hAnsi="Arial" w:cs="Arial"/>
          <w:sz w:val="22"/>
          <w:szCs w:val="22"/>
        </w:rPr>
        <w:t>)</w:t>
      </w:r>
      <w:r w:rsidRPr="003E4F72">
        <w:rPr>
          <w:rFonts w:ascii="Arial" w:hAnsi="Arial" w:cs="Arial"/>
          <w:sz w:val="22"/>
          <w:szCs w:val="22"/>
        </w:rPr>
        <w:tab/>
        <w:t xml:space="preserve"> </w:t>
      </w:r>
      <w:r w:rsidR="00651B29" w:rsidRPr="003E4F72">
        <w:rPr>
          <w:rFonts w:ascii="Arial" w:hAnsi="Arial" w:cs="Arial"/>
          <w:sz w:val="22"/>
          <w:szCs w:val="22"/>
        </w:rPr>
        <w:t xml:space="preserve">                                                   </w:t>
      </w:r>
      <w:r w:rsidRPr="003E4F72">
        <w:rPr>
          <w:rFonts w:ascii="Arial" w:hAnsi="Arial" w:cs="Arial"/>
          <w:sz w:val="22"/>
          <w:szCs w:val="22"/>
        </w:rPr>
        <w:t xml:space="preserve"> 3 - 4</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Metodické vysvetlivky pre výpočet indexov cien</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materiálov a výrobkov spotrebovávaných v stavebníctve</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Methodological</w:t>
      </w:r>
      <w:proofErr w:type="spellEnd"/>
      <w:r w:rsidRPr="003E4F72">
        <w:rPr>
          <w:rFonts w:ascii="Arial" w:hAnsi="Arial" w:cs="Arial"/>
          <w:sz w:val="22"/>
          <w:szCs w:val="22"/>
        </w:rPr>
        <w:t xml:space="preserve"> notes </w:t>
      </w:r>
      <w:proofErr w:type="spellStart"/>
      <w:r w:rsidRPr="003E4F72">
        <w:rPr>
          <w:rFonts w:ascii="Arial" w:hAnsi="Arial" w:cs="Arial"/>
          <w:sz w:val="22"/>
          <w:szCs w:val="22"/>
        </w:rPr>
        <w:t>for</w:t>
      </w:r>
      <w:proofErr w:type="spellEnd"/>
      <w:r w:rsidRPr="003E4F72">
        <w:rPr>
          <w:rFonts w:ascii="Arial" w:hAnsi="Arial" w:cs="Arial"/>
          <w:sz w:val="22"/>
          <w:szCs w:val="22"/>
        </w:rPr>
        <w:t xml:space="preserve"> </w:t>
      </w:r>
      <w:proofErr w:type="spellStart"/>
      <w:r w:rsidRPr="003E4F72">
        <w:rPr>
          <w:rFonts w:ascii="Arial" w:hAnsi="Arial" w:cs="Arial"/>
          <w:sz w:val="22"/>
          <w:szCs w:val="22"/>
        </w:rPr>
        <w:t>calculation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Tabuľka č. 1 / Table n. 1                                                                                       </w:t>
      </w:r>
      <w:r w:rsidRPr="003E4F72">
        <w:rPr>
          <w:rFonts w:ascii="Arial" w:hAnsi="Arial" w:cs="Arial"/>
          <w:sz w:val="22"/>
          <w:szCs w:val="22"/>
        </w:rPr>
        <w:t>5</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Časový rad indexov cien stavebných prác</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pre stavebníctvo celkom, roky 20</w:t>
      </w:r>
      <w:r w:rsidR="00026D3E"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a 20</w:t>
      </w:r>
      <w:r w:rsidR="00897B03">
        <w:rPr>
          <w:rFonts w:ascii="Arial" w:hAnsi="Arial" w:cs="Arial"/>
          <w:sz w:val="22"/>
          <w:szCs w:val="22"/>
        </w:rPr>
        <w:t>20</w:t>
      </w:r>
      <w:r w:rsidRPr="003E4F72">
        <w:rPr>
          <w:rFonts w:ascii="Arial" w:hAnsi="Arial" w:cs="Arial"/>
          <w:sz w:val="22"/>
          <w:szCs w:val="22"/>
        </w:rPr>
        <w:t xml:space="preserve"> (odhady)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Time</w:t>
      </w:r>
      <w:proofErr w:type="spellEnd"/>
      <w:r w:rsidRPr="003E4F72">
        <w:rPr>
          <w:rFonts w:ascii="Arial" w:hAnsi="Arial" w:cs="Arial"/>
          <w:sz w:val="22"/>
          <w:szCs w:val="22"/>
        </w:rPr>
        <w:t xml:space="preserve"> </w:t>
      </w:r>
      <w:proofErr w:type="spellStart"/>
      <w:r w:rsidRPr="003E4F72">
        <w:rPr>
          <w:rFonts w:ascii="Arial" w:hAnsi="Arial" w:cs="Arial"/>
          <w:sz w:val="22"/>
          <w:szCs w:val="22"/>
        </w:rPr>
        <w:t>line</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works</w:t>
      </w:r>
      <w:proofErr w:type="spellEnd"/>
      <w:r w:rsidRPr="003E4F72">
        <w:rPr>
          <w:rFonts w:ascii="Arial" w:hAnsi="Arial" w:cs="Arial"/>
          <w:sz w:val="22"/>
          <w:szCs w:val="22"/>
        </w:rPr>
        <w:t xml:space="preserve"> (in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aggregate</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20</w:t>
      </w:r>
      <w:r w:rsidR="00026D3E"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proofErr w:type="spellStart"/>
      <w:r w:rsidRPr="003E4F72">
        <w:rPr>
          <w:rFonts w:ascii="Arial" w:hAnsi="Arial" w:cs="Arial"/>
          <w:sz w:val="22"/>
          <w:szCs w:val="22"/>
        </w:rPr>
        <w:t>estimation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b/>
          <w:sz w:val="22"/>
          <w:szCs w:val="22"/>
        </w:rPr>
      </w:pPr>
      <w:r w:rsidRPr="003E4F72">
        <w:rPr>
          <w:rFonts w:ascii="Arial" w:hAnsi="Arial" w:cs="Arial"/>
          <w:b/>
          <w:sz w:val="22"/>
          <w:szCs w:val="22"/>
        </w:rPr>
        <w:t xml:space="preserve">Tabuľka č. 2 / Table n. 2                                                                              </w:t>
      </w:r>
      <w:r w:rsidR="00917766" w:rsidRPr="003E4F72">
        <w:rPr>
          <w:rFonts w:ascii="Arial" w:hAnsi="Arial" w:cs="Arial"/>
          <w:b/>
          <w:sz w:val="22"/>
          <w:szCs w:val="22"/>
        </w:rPr>
        <w:t xml:space="preserve"> </w:t>
      </w:r>
      <w:r w:rsidRPr="003E4F72">
        <w:rPr>
          <w:rFonts w:ascii="Arial" w:hAnsi="Arial" w:cs="Arial"/>
          <w:b/>
          <w:sz w:val="22"/>
          <w:szCs w:val="22"/>
        </w:rPr>
        <w:t xml:space="preserve">        </w:t>
      </w:r>
      <w:r w:rsidRPr="003E4F72">
        <w:rPr>
          <w:rFonts w:ascii="Arial" w:hAnsi="Arial" w:cs="Arial"/>
          <w:sz w:val="22"/>
          <w:szCs w:val="22"/>
        </w:rPr>
        <w:t>6</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Indexy cien materiálov a výrobkov spotrebovávaných</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v stavebníctve za</w:t>
      </w:r>
      <w:r w:rsidR="00AC5E19">
        <w:rPr>
          <w:rFonts w:ascii="Arial" w:hAnsi="Arial" w:cs="Arial"/>
          <w:sz w:val="22"/>
          <w:szCs w:val="22"/>
        </w:rPr>
        <w:t xml:space="preserve"> </w:t>
      </w:r>
      <w:r w:rsidR="009F7455">
        <w:rPr>
          <w:rFonts w:ascii="Arial" w:hAnsi="Arial" w:cs="Arial"/>
          <w:sz w:val="22"/>
          <w:szCs w:val="22"/>
        </w:rPr>
        <w:t>máj</w:t>
      </w:r>
      <w:r w:rsidR="00E057AE" w:rsidRPr="003E4F72">
        <w:rPr>
          <w:rFonts w:ascii="Arial" w:hAnsi="Arial" w:cs="Arial"/>
          <w:sz w:val="22"/>
          <w:szCs w:val="22"/>
        </w:rPr>
        <w:t xml:space="preserve"> </w:t>
      </w:r>
      <w:r w:rsidRPr="003E4F72">
        <w:rPr>
          <w:rFonts w:ascii="Arial" w:hAnsi="Arial" w:cs="Arial"/>
          <w:sz w:val="22"/>
          <w:szCs w:val="22"/>
        </w:rPr>
        <w:t>20</w:t>
      </w:r>
      <w:r w:rsidR="00897B03">
        <w:rPr>
          <w:rFonts w:ascii="Arial" w:hAnsi="Arial" w:cs="Arial"/>
          <w:sz w:val="22"/>
          <w:szCs w:val="22"/>
        </w:rPr>
        <w:t>20</w:t>
      </w:r>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roofErr w:type="spellStart"/>
      <w:r w:rsidRPr="003E4F72">
        <w:rPr>
          <w:rFonts w:ascii="Arial" w:hAnsi="Arial" w:cs="Arial"/>
          <w:sz w:val="22"/>
          <w:szCs w:val="22"/>
        </w:rPr>
        <w:t>for</w:t>
      </w:r>
      <w:proofErr w:type="spellEnd"/>
      <w:r w:rsidR="00957DF9">
        <w:rPr>
          <w:rFonts w:ascii="Arial" w:hAnsi="Arial" w:cs="Arial"/>
          <w:sz w:val="22"/>
          <w:szCs w:val="22"/>
        </w:rPr>
        <w:t xml:space="preserve"> </w:t>
      </w:r>
      <w:proofErr w:type="spellStart"/>
      <w:r w:rsidR="009F7455">
        <w:rPr>
          <w:rFonts w:ascii="Arial" w:hAnsi="Arial" w:cs="Arial"/>
          <w:sz w:val="22"/>
          <w:szCs w:val="22"/>
        </w:rPr>
        <w:t>May</w:t>
      </w:r>
      <w:proofErr w:type="spellEnd"/>
      <w:r w:rsidR="005C783A">
        <w:rPr>
          <w:rFonts w:ascii="Arial" w:hAnsi="Arial" w:cs="Arial"/>
          <w:sz w:val="22"/>
          <w:szCs w:val="22"/>
        </w:rPr>
        <w:t xml:space="preserve"> </w:t>
      </w:r>
      <w:r w:rsidRPr="003E4F72">
        <w:rPr>
          <w:rFonts w:ascii="Arial" w:hAnsi="Arial" w:cs="Arial"/>
          <w:sz w:val="22"/>
          <w:szCs w:val="22"/>
        </w:rPr>
        <w:t>20</w:t>
      </w:r>
      <w:r w:rsidR="00897B03">
        <w:rPr>
          <w:rFonts w:ascii="Arial" w:hAnsi="Arial" w:cs="Arial"/>
          <w:sz w:val="22"/>
          <w:szCs w:val="22"/>
        </w:rPr>
        <w:t>20</w:t>
      </w:r>
      <w:r w:rsidRPr="003E4F72">
        <w:rPr>
          <w:rFonts w:ascii="Arial" w:hAnsi="Arial" w:cs="Arial"/>
          <w:sz w:val="22"/>
          <w:szCs w:val="22"/>
        </w:rPr>
        <w:t xml:space="preserve">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Základ/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base:predchádzajúce</w:t>
      </w:r>
      <w:proofErr w:type="spellEnd"/>
      <w:r w:rsidRPr="003E4F72">
        <w:rPr>
          <w:rFonts w:ascii="Arial" w:hAnsi="Arial" w:cs="Arial"/>
          <w:sz w:val="22"/>
          <w:szCs w:val="22"/>
        </w:rPr>
        <w:t xml:space="preserve"> obdobie/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december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100 / december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rovnaké obdobie predchádzajúceho roka = 100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same</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r w:rsidR="00A12F1C" w:rsidRPr="003E4F72">
        <w:rPr>
          <w:rFonts w:ascii="Arial" w:hAnsi="Arial" w:cs="Arial"/>
          <w:sz w:val="22"/>
          <w:szCs w:val="22"/>
        </w:rPr>
        <w:fldChar w:fldCharType="begin"/>
      </w:r>
      <w:r w:rsidRPr="003E4F72">
        <w:rPr>
          <w:rFonts w:ascii="Arial" w:hAnsi="Arial" w:cs="Arial"/>
          <w:sz w:val="22"/>
          <w:szCs w:val="22"/>
        </w:rPr>
        <w:instrText>SYMBOL 198 \f "Symbol" \s 12</w:instrText>
      </w:r>
      <w:r w:rsidR="00A12F1C" w:rsidRPr="003E4F72">
        <w:rPr>
          <w:rFonts w:ascii="Arial" w:hAnsi="Arial" w:cs="Arial"/>
          <w:sz w:val="22"/>
          <w:szCs w:val="22"/>
        </w:rPr>
        <w:fldChar w:fldCharType="separate"/>
      </w:r>
      <w:r w:rsidRPr="003E4F72">
        <w:rPr>
          <w:rFonts w:ascii="Arial" w:hAnsi="Arial" w:cs="Arial"/>
          <w:sz w:val="22"/>
          <w:szCs w:val="22"/>
        </w:rPr>
        <w:t>Ć</w:t>
      </w:r>
      <w:r w:rsidR="00A12F1C" w:rsidRPr="003E4F72">
        <w:rPr>
          <w:rFonts w:ascii="Arial" w:hAnsi="Arial" w:cs="Arial"/>
          <w:sz w:val="22"/>
          <w:szCs w:val="22"/>
        </w:rPr>
        <w:fldChar w:fldCharType="end"/>
      </w:r>
      <w:r w:rsidRPr="003E4F72">
        <w:rPr>
          <w:rFonts w:ascii="Arial" w:hAnsi="Arial" w:cs="Arial"/>
          <w:sz w:val="22"/>
          <w:szCs w:val="22"/>
        </w:rPr>
        <w:t xml:space="preserve"> roka 20</w:t>
      </w:r>
      <w:r w:rsidR="00D429CC" w:rsidRPr="003E4F72">
        <w:rPr>
          <w:rFonts w:ascii="Arial" w:hAnsi="Arial" w:cs="Arial"/>
          <w:sz w:val="22"/>
          <w:szCs w:val="22"/>
        </w:rPr>
        <w:t>1</w:t>
      </w:r>
      <w:r w:rsidR="006402A6">
        <w:rPr>
          <w:rFonts w:ascii="Arial" w:hAnsi="Arial" w:cs="Arial"/>
          <w:sz w:val="22"/>
          <w:szCs w:val="22"/>
        </w:rPr>
        <w:t>5</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Priemery od začiatku roka / </w:t>
      </w:r>
      <w:proofErr w:type="spellStart"/>
      <w:r w:rsidRPr="003E4F72">
        <w:rPr>
          <w:rFonts w:ascii="Arial" w:hAnsi="Arial" w:cs="Arial"/>
          <w:sz w:val="22"/>
          <w:szCs w:val="22"/>
        </w:rPr>
        <w:t>averages</w:t>
      </w:r>
      <w:proofErr w:type="spellEnd"/>
      <w:r w:rsidRPr="003E4F72">
        <w:rPr>
          <w:rFonts w:ascii="Arial" w:hAnsi="Arial" w:cs="Arial"/>
          <w:sz w:val="22"/>
          <w:szCs w:val="22"/>
        </w:rPr>
        <w:t xml:space="preserve"> </w:t>
      </w:r>
      <w:proofErr w:type="spellStart"/>
      <w:r w:rsidRPr="003E4F72">
        <w:rPr>
          <w:rFonts w:ascii="Arial" w:hAnsi="Arial" w:cs="Arial"/>
          <w:sz w:val="22"/>
          <w:szCs w:val="22"/>
        </w:rPr>
        <w:t>since</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beginning</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rovnaké obdobie predchádzajúceho roka = 100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same</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r w:rsidR="00A12F1C" w:rsidRPr="003E4F72">
        <w:rPr>
          <w:rFonts w:ascii="Arial" w:hAnsi="Arial" w:cs="Arial"/>
          <w:sz w:val="22"/>
          <w:szCs w:val="22"/>
        </w:rPr>
        <w:fldChar w:fldCharType="begin"/>
      </w:r>
      <w:r w:rsidRPr="003E4F72">
        <w:rPr>
          <w:rFonts w:ascii="Arial" w:hAnsi="Arial" w:cs="Arial"/>
          <w:sz w:val="22"/>
          <w:szCs w:val="22"/>
        </w:rPr>
        <w:instrText>SYMBOL 198 \f "Symbol" \s 12</w:instrText>
      </w:r>
      <w:r w:rsidR="00A12F1C" w:rsidRPr="003E4F72">
        <w:rPr>
          <w:rFonts w:ascii="Arial" w:hAnsi="Arial" w:cs="Arial"/>
          <w:sz w:val="22"/>
          <w:szCs w:val="22"/>
        </w:rPr>
        <w:fldChar w:fldCharType="separate"/>
      </w:r>
      <w:r w:rsidRPr="003E4F72">
        <w:rPr>
          <w:rFonts w:ascii="Arial" w:hAnsi="Arial" w:cs="Arial"/>
          <w:sz w:val="22"/>
          <w:szCs w:val="22"/>
        </w:rPr>
        <w:t>Ć</w:t>
      </w:r>
      <w:r w:rsidR="00A12F1C" w:rsidRPr="003E4F72">
        <w:rPr>
          <w:rFonts w:ascii="Arial" w:hAnsi="Arial" w:cs="Arial"/>
          <w:sz w:val="22"/>
          <w:szCs w:val="22"/>
        </w:rPr>
        <w:fldChar w:fldCharType="end"/>
      </w:r>
      <w:r w:rsidRPr="003E4F72">
        <w:rPr>
          <w:rFonts w:ascii="Arial" w:hAnsi="Arial" w:cs="Arial"/>
          <w:sz w:val="22"/>
          <w:szCs w:val="22"/>
        </w:rPr>
        <w:t xml:space="preserve"> roka 20</w:t>
      </w:r>
      <w:r w:rsidR="00D429CC" w:rsidRPr="003E4F72">
        <w:rPr>
          <w:rFonts w:ascii="Arial" w:hAnsi="Arial" w:cs="Arial"/>
          <w:sz w:val="22"/>
          <w:szCs w:val="22"/>
        </w:rPr>
        <w:t>1</w:t>
      </w:r>
      <w:r w:rsidR="006402A6">
        <w:rPr>
          <w:rFonts w:ascii="Arial" w:hAnsi="Arial" w:cs="Arial"/>
          <w:sz w:val="22"/>
          <w:szCs w:val="22"/>
        </w:rPr>
        <w:t>5</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Tabuľka č. 3 / Table n. 3                                                                                       </w:t>
      </w:r>
      <w:r w:rsidRPr="003E4F72">
        <w:rPr>
          <w:rFonts w:ascii="Arial" w:hAnsi="Arial" w:cs="Arial"/>
          <w:sz w:val="22"/>
          <w:szCs w:val="22"/>
        </w:rPr>
        <w:t>7</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Časový rad indexov cien materiálov a výrobkov</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spotrebovávaných v stavebníctve, roky 20</w:t>
      </w:r>
      <w:r w:rsidR="00D82379" w:rsidRPr="003E4F72">
        <w:rPr>
          <w:rFonts w:ascii="Arial" w:hAnsi="Arial" w:cs="Arial"/>
          <w:sz w:val="22"/>
          <w:szCs w:val="22"/>
        </w:rPr>
        <w:t>1</w:t>
      </w:r>
      <w:r w:rsidR="00897B03">
        <w:rPr>
          <w:rFonts w:ascii="Arial" w:hAnsi="Arial" w:cs="Arial"/>
          <w:sz w:val="22"/>
          <w:szCs w:val="22"/>
        </w:rPr>
        <w:t>9</w:t>
      </w:r>
      <w:r w:rsidR="00917766" w:rsidRPr="003E4F72">
        <w:rPr>
          <w:rFonts w:ascii="Arial" w:hAnsi="Arial" w:cs="Arial"/>
          <w:sz w:val="22"/>
          <w:szCs w:val="22"/>
        </w:rPr>
        <w:t xml:space="preserve"> </w:t>
      </w:r>
      <w:r w:rsidRPr="003E4F72">
        <w:rPr>
          <w:rFonts w:ascii="Arial" w:hAnsi="Arial" w:cs="Arial"/>
          <w:sz w:val="22"/>
          <w:szCs w:val="22"/>
        </w:rPr>
        <w:t xml:space="preserve"> a 20</w:t>
      </w:r>
      <w:r w:rsidR="00897B03">
        <w:rPr>
          <w:rFonts w:ascii="Arial" w:hAnsi="Arial" w:cs="Arial"/>
          <w:sz w:val="22"/>
          <w:szCs w:val="22"/>
        </w:rPr>
        <w:t>20</w:t>
      </w:r>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Time</w:t>
      </w:r>
      <w:proofErr w:type="spellEnd"/>
      <w:r w:rsidRPr="003E4F72">
        <w:rPr>
          <w:rFonts w:ascii="Arial" w:hAnsi="Arial" w:cs="Arial"/>
          <w:sz w:val="22"/>
          <w:szCs w:val="22"/>
        </w:rPr>
        <w:t xml:space="preserve"> </w:t>
      </w:r>
      <w:proofErr w:type="spellStart"/>
      <w:r w:rsidRPr="003E4F72">
        <w:rPr>
          <w:rFonts w:ascii="Arial" w:hAnsi="Arial" w:cs="Arial"/>
          <w:sz w:val="22"/>
          <w:szCs w:val="22"/>
        </w:rPr>
        <w:t>line</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Graf / </w:t>
      </w:r>
      <w:proofErr w:type="spellStart"/>
      <w:r w:rsidRPr="003E4F72">
        <w:rPr>
          <w:rFonts w:ascii="Arial" w:hAnsi="Arial" w:cs="Arial"/>
          <w:b/>
          <w:sz w:val="22"/>
          <w:szCs w:val="22"/>
        </w:rPr>
        <w:t>Graph</w:t>
      </w:r>
      <w:proofErr w:type="spellEnd"/>
      <w:r w:rsidRPr="003E4F72">
        <w:rPr>
          <w:rFonts w:ascii="Arial" w:hAnsi="Arial" w:cs="Arial"/>
          <w:b/>
          <w:sz w:val="22"/>
          <w:szCs w:val="22"/>
        </w:rPr>
        <w:t xml:space="preserve">                                                                                                          </w:t>
      </w:r>
      <w:r w:rsidRPr="003E4F72">
        <w:rPr>
          <w:rFonts w:ascii="Arial" w:hAnsi="Arial" w:cs="Arial"/>
          <w:sz w:val="22"/>
          <w:szCs w:val="22"/>
        </w:rPr>
        <w:t>8</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Vývoj indexov cien stavebných prác, materiálov a výrobkov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spotrebovávaných v stavebníctve v rokoch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Development</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works</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w:t>
      </w:r>
      <w:r w:rsidR="00B3442F" w:rsidRPr="003E4F72">
        <w:rPr>
          <w:rFonts w:ascii="Arial" w:hAnsi="Arial" w:cs="Arial"/>
          <w:sz w:val="22"/>
          <w:szCs w:val="22"/>
        </w:rPr>
        <w:t xml:space="preserve"> </w:t>
      </w:r>
      <w:r w:rsidRPr="003E4F72">
        <w:rPr>
          <w:rFonts w:ascii="Arial" w:hAnsi="Arial" w:cs="Arial"/>
          <w:sz w:val="22"/>
          <w:szCs w:val="22"/>
        </w:rPr>
        <w:t>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pStyle w:val="Nadpis2"/>
        <w:rPr>
          <w:rFonts w:ascii="Arial" w:hAnsi="Arial" w:cs="Arial"/>
          <w:b w:val="0"/>
          <w:color w:val="auto"/>
          <w:sz w:val="22"/>
          <w:szCs w:val="22"/>
        </w:rPr>
      </w:pPr>
      <w:r w:rsidRPr="003E4F72">
        <w:rPr>
          <w:rFonts w:ascii="Arial" w:hAnsi="Arial" w:cs="Arial"/>
          <w:color w:val="auto"/>
          <w:sz w:val="22"/>
          <w:szCs w:val="22"/>
        </w:rPr>
        <w:t>Tabuľka č. 4</w:t>
      </w:r>
      <w:r w:rsidR="00651B29" w:rsidRPr="003E4F72">
        <w:rPr>
          <w:rFonts w:ascii="Arial" w:hAnsi="Arial" w:cs="Arial"/>
          <w:color w:val="auto"/>
          <w:sz w:val="22"/>
          <w:szCs w:val="22"/>
        </w:rPr>
        <w:t xml:space="preserve">                                                     </w:t>
      </w:r>
      <w:r w:rsidR="003E4F72">
        <w:rPr>
          <w:rFonts w:ascii="Arial" w:hAnsi="Arial" w:cs="Arial"/>
          <w:color w:val="auto"/>
          <w:sz w:val="22"/>
          <w:szCs w:val="22"/>
        </w:rPr>
        <w:t xml:space="preserve">     </w:t>
      </w:r>
      <w:r w:rsidR="00651B29" w:rsidRPr="003E4F72">
        <w:rPr>
          <w:rFonts w:ascii="Arial" w:hAnsi="Arial" w:cs="Arial"/>
          <w:color w:val="auto"/>
          <w:sz w:val="22"/>
          <w:szCs w:val="22"/>
        </w:rPr>
        <w:t xml:space="preserve">                                                </w:t>
      </w:r>
      <w:r w:rsidR="00651B29" w:rsidRPr="003E4F72">
        <w:rPr>
          <w:rFonts w:ascii="Arial" w:hAnsi="Arial" w:cs="Arial"/>
          <w:b w:val="0"/>
          <w:color w:val="auto"/>
          <w:sz w:val="22"/>
          <w:szCs w:val="22"/>
        </w:rPr>
        <w:t>9</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
    <w:p w:rsidR="00374386" w:rsidRDefault="00374386" w:rsidP="00374386">
      <w:pPr>
        <w:pStyle w:val="Nadpis1"/>
        <w:rPr>
          <w:rFonts w:cs="Arial"/>
          <w:sz w:val="22"/>
          <w:szCs w:val="22"/>
        </w:rPr>
      </w:pPr>
      <w:r w:rsidRPr="003E4F72">
        <w:rPr>
          <w:rFonts w:cs="Arial"/>
          <w:sz w:val="22"/>
          <w:szCs w:val="22"/>
        </w:rPr>
        <w:t>Indexy  cien pre uplatnenie metódy FIDIC  za mesiac</w:t>
      </w:r>
      <w:r w:rsidR="004F7782">
        <w:rPr>
          <w:rFonts w:cs="Arial"/>
          <w:sz w:val="22"/>
          <w:szCs w:val="22"/>
        </w:rPr>
        <w:t xml:space="preserve"> </w:t>
      </w:r>
      <w:r w:rsidR="009F7455">
        <w:rPr>
          <w:rFonts w:cs="Arial"/>
          <w:sz w:val="22"/>
          <w:szCs w:val="22"/>
        </w:rPr>
        <w:t>máj</w:t>
      </w:r>
      <w:r w:rsidR="00301E94" w:rsidRPr="003E4F72">
        <w:rPr>
          <w:rFonts w:cs="Arial"/>
          <w:sz w:val="22"/>
          <w:szCs w:val="22"/>
        </w:rPr>
        <w:t xml:space="preserve"> </w:t>
      </w:r>
      <w:r w:rsidR="009459A1" w:rsidRPr="003E4F72">
        <w:rPr>
          <w:rFonts w:cs="Arial"/>
          <w:sz w:val="22"/>
          <w:szCs w:val="22"/>
        </w:rPr>
        <w:t xml:space="preserve"> </w:t>
      </w:r>
      <w:r w:rsidRPr="003E4F72">
        <w:rPr>
          <w:rFonts w:cs="Arial"/>
          <w:sz w:val="22"/>
          <w:szCs w:val="22"/>
        </w:rPr>
        <w:t>20</w:t>
      </w:r>
      <w:r w:rsidR="00897B03">
        <w:rPr>
          <w:rFonts w:cs="Arial"/>
          <w:sz w:val="22"/>
          <w:szCs w:val="22"/>
        </w:rPr>
        <w:t>20</w:t>
      </w:r>
      <w:r w:rsidRPr="003E4F72">
        <w:rPr>
          <w:rFonts w:cs="Arial"/>
          <w:sz w:val="22"/>
          <w:szCs w:val="22"/>
        </w:rPr>
        <w:t xml:space="preserve">     </w:t>
      </w:r>
    </w:p>
    <w:p w:rsidR="007D63A9" w:rsidRPr="007D63A9" w:rsidRDefault="007D63A9" w:rsidP="007D63A9"/>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ab/>
      </w:r>
    </w:p>
    <w:p w:rsidR="00374386" w:rsidRPr="005D648E" w:rsidRDefault="00374386" w:rsidP="00374386">
      <w:pPr>
        <w:spacing w:before="120" w:line="240" w:lineRule="atLeast"/>
        <w:jc w:val="both"/>
        <w:rPr>
          <w:rFonts w:ascii="Arial" w:hAnsi="Arial" w:cs="Arial"/>
          <w:b/>
          <w:sz w:val="21"/>
          <w:szCs w:val="21"/>
        </w:rPr>
      </w:pPr>
      <w:r w:rsidRPr="005D648E">
        <w:rPr>
          <w:rFonts w:ascii="Arial" w:hAnsi="Arial" w:cs="Arial"/>
          <w:b/>
          <w:sz w:val="21"/>
          <w:szCs w:val="21"/>
        </w:rPr>
        <w:lastRenderedPageBreak/>
        <w:t>Metodické vysvetlivky pre výpočet indexov cien stavebných prác (odhady)</w:t>
      </w:r>
    </w:p>
    <w:p w:rsidR="00374386" w:rsidRPr="005D648E" w:rsidRDefault="00374386" w:rsidP="00374386">
      <w:pPr>
        <w:spacing w:before="120" w:line="360" w:lineRule="auto"/>
        <w:jc w:val="both"/>
        <w:rPr>
          <w:rFonts w:ascii="Arial" w:hAnsi="Arial" w:cs="Arial"/>
          <w:b/>
          <w:sz w:val="21"/>
          <w:szCs w:val="21"/>
        </w:rPr>
      </w:pPr>
    </w:p>
    <w:p w:rsidR="00374386" w:rsidRPr="005D648E" w:rsidRDefault="00374386" w:rsidP="00374386">
      <w:pPr>
        <w:pStyle w:val="Zkladntextodsazen2"/>
        <w:spacing w:line="360" w:lineRule="auto"/>
        <w:rPr>
          <w:rFonts w:ascii="Arial" w:hAnsi="Arial" w:cs="Arial"/>
          <w:sz w:val="21"/>
          <w:szCs w:val="21"/>
        </w:rPr>
      </w:pPr>
      <w:r w:rsidRPr="005D648E">
        <w:rPr>
          <w:rFonts w:ascii="Arial" w:hAnsi="Arial" w:cs="Arial"/>
          <w:sz w:val="21"/>
          <w:szCs w:val="21"/>
        </w:rPr>
        <w:t>Pri mesačných odhadoch indexov cien stavebných prác sa vychádza zo štvrťročných údajov indexov cien stavebných prác a mesačných indexov cien stavebných materiálov  a výrobkov spotrebovávaných v stavebníctve publikovaných v publikácii štatistické čísla a grafy "Indexy cien stavebných prác, materiálov a výrobkov spotrebovávaných v stavebníctve", ktorú vydáva mesačne Štatistický úrad Slovenskej republiky.</w:t>
      </w:r>
    </w:p>
    <w:p w:rsidR="00374386" w:rsidRPr="005D648E" w:rsidRDefault="00374386" w:rsidP="00374386">
      <w:pPr>
        <w:spacing w:before="120" w:line="360" w:lineRule="auto"/>
        <w:ind w:firstLine="709"/>
        <w:jc w:val="both"/>
        <w:rPr>
          <w:rFonts w:ascii="Arial" w:hAnsi="Arial" w:cs="Arial"/>
          <w:color w:val="FF00FF"/>
          <w:sz w:val="21"/>
          <w:szCs w:val="21"/>
        </w:rPr>
      </w:pPr>
      <w:r w:rsidRPr="005D648E">
        <w:rPr>
          <w:rFonts w:ascii="Arial" w:hAnsi="Arial" w:cs="Arial"/>
          <w:sz w:val="21"/>
          <w:szCs w:val="21"/>
        </w:rPr>
        <w:t>Pre odhady indexov cien stavebných prác sa využíva indexová schéma pre štvrťročný výpočet. Systém váh umožňuje agregovanie indexov cien do typov, oddielov, skupín a tried podľa Klasifikácie stavieb (KS) a do oddielov, sekcií, skupín, tried a podtried podľa Klasifikácie produkcie (KP). Cenovým základom sú priemerné ceny roka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color w:val="FF00FF"/>
          <w:sz w:val="21"/>
          <w:szCs w:val="21"/>
        </w:rPr>
        <w:t xml:space="preserve">. </w:t>
      </w:r>
      <w:r w:rsidRPr="005D648E">
        <w:rPr>
          <w:rFonts w:ascii="Arial" w:hAnsi="Arial" w:cs="Arial"/>
          <w:sz w:val="21"/>
          <w:szCs w:val="21"/>
        </w:rPr>
        <w:t>V prepočte sú do posledných známych indexov cien stavebných prác premietnuté zmeny cien materiálov a výrobkov, ku ktorým došlo v období medzi mesiacom zisťovania v štvrťroku a bežným mesiacom, a ďalšie známe alebo predpokladané nemateriálové vplyvy.</w:t>
      </w:r>
    </w:p>
    <w:p w:rsidR="00374386" w:rsidRPr="005D648E" w:rsidRDefault="00374386" w:rsidP="00374386">
      <w:pPr>
        <w:spacing w:before="120" w:line="360" w:lineRule="auto"/>
        <w:ind w:firstLine="709"/>
        <w:jc w:val="both"/>
        <w:rPr>
          <w:rFonts w:ascii="Arial" w:hAnsi="Arial" w:cs="Arial"/>
          <w:sz w:val="21"/>
          <w:szCs w:val="21"/>
        </w:rPr>
      </w:pPr>
      <w:r w:rsidRPr="005D648E">
        <w:rPr>
          <w:rFonts w:ascii="Arial" w:hAnsi="Arial" w:cs="Arial"/>
          <w:sz w:val="21"/>
          <w:szCs w:val="21"/>
        </w:rPr>
        <w:t>Po ukončení každého štvrťroka sa upresňujú odhady indexov jednotlivých mesiacov uplynulého štvrťroka na základe údajov štvrťročne získaných od respondentov.</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spacing w:line="360" w:lineRule="auto"/>
        <w:jc w:val="both"/>
        <w:rPr>
          <w:rFonts w:ascii="Arial" w:hAnsi="Arial" w:cs="Arial"/>
          <w:b/>
          <w:sz w:val="21"/>
          <w:szCs w:val="21"/>
        </w:rPr>
      </w:pPr>
      <w:r w:rsidRPr="005D648E">
        <w:rPr>
          <w:rFonts w:ascii="Arial" w:hAnsi="Arial" w:cs="Arial"/>
          <w:b/>
          <w:sz w:val="21"/>
          <w:szCs w:val="21"/>
        </w:rPr>
        <w:t>Metodické vysvetlivky pre výpočet indexov cien materiálov a výrobkov spotrebovávaných v stavebníctve</w:t>
      </w:r>
    </w:p>
    <w:p w:rsidR="00374386" w:rsidRPr="005D648E" w:rsidRDefault="00374386" w:rsidP="00374386">
      <w:pPr>
        <w:spacing w:line="360" w:lineRule="auto"/>
        <w:jc w:val="both"/>
        <w:rPr>
          <w:rFonts w:ascii="Arial" w:hAnsi="Arial" w:cs="Arial"/>
          <w:color w:val="FF00FF"/>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color w:val="FF00FF"/>
          <w:sz w:val="21"/>
          <w:szCs w:val="21"/>
        </w:rPr>
        <w:t xml:space="preserve">       </w:t>
      </w:r>
      <w:r w:rsidRPr="005D648E">
        <w:rPr>
          <w:rFonts w:ascii="Arial" w:hAnsi="Arial" w:cs="Arial"/>
          <w:sz w:val="21"/>
          <w:szCs w:val="21"/>
        </w:rPr>
        <w:t xml:space="preserve">Pre analytické potreby sa počítajú aj indexy cien materiálov a výrobkov spotrebovávaných v stavebníctve (výrobné ceny). Do výpočtu sa dosadzujú indexy cien tuzemských výrobcov vybraných stavebných materiálov prevzaté zo štatistiky cien priemyselných výrobcov. </w:t>
      </w:r>
      <w:r w:rsidRPr="00232D72">
        <w:rPr>
          <w:rFonts w:ascii="Arial" w:hAnsi="Arial" w:cs="Arial"/>
          <w:sz w:val="21"/>
          <w:szCs w:val="21"/>
        </w:rPr>
        <w:t xml:space="preserve">Vybraným </w:t>
      </w:r>
      <w:r w:rsidR="00681691" w:rsidRPr="00232D72">
        <w:rPr>
          <w:rFonts w:ascii="Arial" w:hAnsi="Arial" w:cs="Arial"/>
          <w:sz w:val="21"/>
          <w:szCs w:val="21"/>
        </w:rPr>
        <w:t>89</w:t>
      </w:r>
      <w:r w:rsidRPr="00232D72">
        <w:rPr>
          <w:rFonts w:ascii="Arial" w:hAnsi="Arial" w:cs="Arial"/>
          <w:sz w:val="21"/>
          <w:szCs w:val="21"/>
        </w:rPr>
        <w:t xml:space="preserve"> skupinám KP boli pridelené váhy rovné relatívnemu podielu hodnotového objemu reprezentanta na celkovom hodnotovom objeme stavebných materiálov spotrebovávaných v príslušnom smere výstavby a celkovej stavebnej výrobe v roku 20</w:t>
      </w:r>
      <w:r w:rsidR="002F55E5" w:rsidRPr="00232D72">
        <w:rPr>
          <w:rFonts w:ascii="Arial" w:hAnsi="Arial" w:cs="Arial"/>
          <w:sz w:val="21"/>
          <w:szCs w:val="21"/>
        </w:rPr>
        <w:t>1</w:t>
      </w:r>
      <w:r w:rsidR="002F161A" w:rsidRPr="00232D72">
        <w:rPr>
          <w:rFonts w:ascii="Arial" w:hAnsi="Arial" w:cs="Arial"/>
          <w:sz w:val="21"/>
          <w:szCs w:val="21"/>
        </w:rPr>
        <w:t>5</w:t>
      </w:r>
      <w:r w:rsidRPr="00232D72">
        <w:rPr>
          <w:rFonts w:ascii="Arial" w:hAnsi="Arial" w:cs="Arial"/>
          <w:sz w:val="21"/>
          <w:szCs w:val="21"/>
        </w:rPr>
        <w:t>.</w:t>
      </w:r>
      <w:r w:rsidRPr="005D648E">
        <w:rPr>
          <w:rFonts w:ascii="Arial" w:hAnsi="Arial" w:cs="Arial"/>
          <w:sz w:val="21"/>
          <w:szCs w:val="21"/>
        </w:rPr>
        <w:t xml:space="preserve">             </w:t>
      </w:r>
    </w:p>
    <w:p w:rsidR="00374386" w:rsidRPr="005D648E" w:rsidRDefault="00374386" w:rsidP="00374386">
      <w:pPr>
        <w:spacing w:line="360" w:lineRule="auto"/>
        <w:jc w:val="both"/>
        <w:rPr>
          <w:rFonts w:ascii="Arial" w:hAnsi="Arial" w:cs="Arial"/>
          <w:b/>
          <w:sz w:val="21"/>
          <w:szCs w:val="21"/>
        </w:rPr>
      </w:pPr>
    </w:p>
    <w:p w:rsidR="00374386" w:rsidRPr="005D648E" w:rsidRDefault="00374386" w:rsidP="00374386">
      <w:pPr>
        <w:pStyle w:val="Nadpis3"/>
        <w:rPr>
          <w:rFonts w:ascii="Arial" w:hAnsi="Arial" w:cs="Arial"/>
          <w:color w:val="auto"/>
          <w:sz w:val="21"/>
          <w:szCs w:val="21"/>
        </w:rPr>
      </w:pPr>
      <w:r w:rsidRPr="005D648E">
        <w:rPr>
          <w:rFonts w:ascii="Arial" w:hAnsi="Arial" w:cs="Arial"/>
          <w:color w:val="auto"/>
          <w:sz w:val="21"/>
          <w:szCs w:val="21"/>
        </w:rPr>
        <w:t xml:space="preserve">Indexy  cien pre uplatnenie metódy FIDIC  </w:t>
      </w:r>
    </w:p>
    <w:p w:rsidR="00374386" w:rsidRPr="005D648E" w:rsidRDefault="00374386" w:rsidP="00374386">
      <w:pPr>
        <w:spacing w:line="360" w:lineRule="auto"/>
        <w:rPr>
          <w:rFonts w:ascii="Arial" w:hAnsi="Arial" w:cs="Arial"/>
          <w:b/>
          <w:bCs/>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Na základe požiadavky ministerstva dopravy, pôšt a telekomunikácií SR publikovať štatistické údaje na účely uplatnenia metódy Medzinárodnej federácie inžinierov konzultantov pribudla od roku 2006 do publikácie tabuľka indexov cien pre uplatnenie metódy FIDIC.</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spacing w:line="360" w:lineRule="auto"/>
        <w:jc w:val="both"/>
        <w:rPr>
          <w:rFonts w:ascii="Arial" w:hAnsi="Arial" w:cs="Arial"/>
          <w:b/>
          <w:sz w:val="21"/>
          <w:szCs w:val="21"/>
        </w:rPr>
      </w:pPr>
    </w:p>
    <w:p w:rsidR="00374386" w:rsidRPr="005D648E" w:rsidRDefault="00374386" w:rsidP="00374386">
      <w:pPr>
        <w:spacing w:line="360" w:lineRule="auto"/>
        <w:jc w:val="both"/>
        <w:rPr>
          <w:rFonts w:ascii="Arial" w:hAnsi="Arial" w:cs="Arial"/>
          <w:b/>
          <w:sz w:val="21"/>
          <w:szCs w:val="21"/>
        </w:rPr>
      </w:pPr>
      <w:proofErr w:type="spellStart"/>
      <w:r w:rsidRPr="005D648E">
        <w:rPr>
          <w:rFonts w:ascii="Arial" w:hAnsi="Arial" w:cs="Arial"/>
          <w:b/>
          <w:sz w:val="21"/>
          <w:szCs w:val="21"/>
        </w:rPr>
        <w:t>Methodological</w:t>
      </w:r>
      <w:proofErr w:type="spellEnd"/>
      <w:r w:rsidRPr="005D648E">
        <w:rPr>
          <w:rFonts w:ascii="Arial" w:hAnsi="Arial" w:cs="Arial"/>
          <w:b/>
          <w:sz w:val="21"/>
          <w:szCs w:val="21"/>
        </w:rPr>
        <w:t xml:space="preserve"> notes </w:t>
      </w:r>
      <w:proofErr w:type="spellStart"/>
      <w:r w:rsidRPr="005D648E">
        <w:rPr>
          <w:rFonts w:ascii="Arial" w:hAnsi="Arial" w:cs="Arial"/>
          <w:b/>
          <w:sz w:val="21"/>
          <w:szCs w:val="21"/>
        </w:rPr>
        <w:t>for</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calculation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price</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indices</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construction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estimation</w:t>
      </w:r>
      <w:proofErr w:type="spellEnd"/>
      <w:r w:rsidRPr="005D648E">
        <w:rPr>
          <w:rFonts w:ascii="Arial" w:hAnsi="Arial" w:cs="Arial"/>
          <w:b/>
          <w:sz w:val="21"/>
          <w:szCs w:val="21"/>
        </w:rPr>
        <w:t>)</w:t>
      </w:r>
    </w:p>
    <w:p w:rsidR="00374386" w:rsidRPr="005D648E" w:rsidRDefault="00374386" w:rsidP="00374386">
      <w:pPr>
        <w:pStyle w:val="Zkladntextodsazen3"/>
        <w:rPr>
          <w:rFonts w:ascii="Arial" w:hAnsi="Arial" w:cs="Arial"/>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To </w:t>
      </w:r>
      <w:proofErr w:type="spellStart"/>
      <w:r w:rsidRPr="005D648E">
        <w:rPr>
          <w:rFonts w:ascii="Arial" w:hAnsi="Arial" w:cs="Arial"/>
          <w:sz w:val="21"/>
          <w:szCs w:val="21"/>
        </w:rPr>
        <w:t>estimate</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we</w:t>
      </w:r>
      <w:proofErr w:type="spellEnd"/>
      <w:r w:rsidRPr="005D648E">
        <w:rPr>
          <w:rFonts w:ascii="Arial" w:hAnsi="Arial" w:cs="Arial"/>
          <w:sz w:val="21"/>
          <w:szCs w:val="21"/>
        </w:rPr>
        <w:t xml:space="preserve"> </w:t>
      </w:r>
      <w:proofErr w:type="spellStart"/>
      <w:r w:rsidRPr="005D648E">
        <w:rPr>
          <w:rFonts w:ascii="Arial" w:hAnsi="Arial" w:cs="Arial"/>
          <w:sz w:val="21"/>
          <w:szCs w:val="21"/>
        </w:rPr>
        <w:t>go</w:t>
      </w:r>
      <w:proofErr w:type="spellEnd"/>
      <w:r w:rsidRPr="005D648E">
        <w:rPr>
          <w:rFonts w:ascii="Arial" w:hAnsi="Arial" w:cs="Arial"/>
          <w:sz w:val="21"/>
          <w:szCs w:val="21"/>
        </w:rPr>
        <w:t xml:space="preserve"> </w:t>
      </w:r>
      <w:proofErr w:type="spellStart"/>
      <w:r w:rsidRPr="005D648E">
        <w:rPr>
          <w:rFonts w:ascii="Arial" w:hAnsi="Arial" w:cs="Arial"/>
          <w:sz w:val="21"/>
          <w:szCs w:val="21"/>
        </w:rPr>
        <w:t>out</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and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These</w:t>
      </w:r>
      <w:proofErr w:type="spellEnd"/>
      <w:r w:rsidRPr="005D648E">
        <w:rPr>
          <w:rFonts w:ascii="Arial" w:hAnsi="Arial" w:cs="Arial"/>
          <w:sz w:val="21"/>
          <w:szCs w:val="21"/>
        </w:rPr>
        <w:t xml:space="preserve"> </w:t>
      </w:r>
      <w:proofErr w:type="spellStart"/>
      <w:r w:rsidRPr="005D648E">
        <w:rPr>
          <w:rFonts w:ascii="Arial" w:hAnsi="Arial" w:cs="Arial"/>
          <w:sz w:val="21"/>
          <w:szCs w:val="21"/>
        </w:rPr>
        <w:t>needed</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are </w:t>
      </w:r>
      <w:proofErr w:type="spellStart"/>
      <w:r w:rsidRPr="005D648E">
        <w:rPr>
          <w:rFonts w:ascii="Arial" w:hAnsi="Arial" w:cs="Arial"/>
          <w:sz w:val="21"/>
          <w:szCs w:val="21"/>
        </w:rPr>
        <w:t>published</w:t>
      </w:r>
      <w:proofErr w:type="spellEnd"/>
      <w:r w:rsidRPr="005D648E">
        <w:rPr>
          <w:rFonts w:ascii="Arial" w:hAnsi="Arial" w:cs="Arial"/>
          <w:sz w:val="21"/>
          <w:szCs w:val="21"/>
        </w:rPr>
        <w:t xml:space="preserve"> in </w:t>
      </w:r>
      <w:proofErr w:type="spellStart"/>
      <w:r w:rsidRPr="005D648E">
        <w:rPr>
          <w:rFonts w:ascii="Arial" w:hAnsi="Arial" w:cs="Arial"/>
          <w:sz w:val="21"/>
          <w:szCs w:val="21"/>
        </w:rPr>
        <w:t>publication</w:t>
      </w:r>
      <w:proofErr w:type="spellEnd"/>
      <w:r w:rsidRPr="005D648E">
        <w:rPr>
          <w:rFonts w:ascii="Arial" w:hAnsi="Arial" w:cs="Arial"/>
          <w:sz w:val="21"/>
          <w:szCs w:val="21"/>
        </w:rPr>
        <w:t xml:space="preserve"> </w:t>
      </w: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Slovak </w:t>
      </w:r>
      <w:proofErr w:type="spellStart"/>
      <w:r w:rsidRPr="005D648E">
        <w:rPr>
          <w:rFonts w:ascii="Arial" w:hAnsi="Arial" w:cs="Arial"/>
          <w:sz w:val="21"/>
          <w:szCs w:val="21"/>
        </w:rPr>
        <w:t>Republic</w:t>
      </w:r>
      <w:proofErr w:type="spellEnd"/>
      <w:r w:rsidRPr="005D648E">
        <w:rPr>
          <w:rFonts w:ascii="Arial" w:hAnsi="Arial" w:cs="Arial"/>
          <w:sz w:val="21"/>
          <w:szCs w:val="21"/>
        </w:rPr>
        <w:t xml:space="preserve">“  -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published</w:t>
      </w:r>
      <w:proofErr w:type="spellEnd"/>
      <w:r w:rsidRPr="005D648E">
        <w:rPr>
          <w:rFonts w:ascii="Arial" w:hAnsi="Arial" w:cs="Arial"/>
          <w:sz w:val="21"/>
          <w:szCs w:val="21"/>
        </w:rPr>
        <w:t xml:space="preserve"> by </w:t>
      </w:r>
      <w:proofErr w:type="spellStart"/>
      <w:r w:rsidRPr="005D648E">
        <w:rPr>
          <w:rFonts w:ascii="Arial" w:hAnsi="Arial" w:cs="Arial"/>
          <w:sz w:val="21"/>
          <w:szCs w:val="21"/>
        </w:rPr>
        <w:t>Statistical</w:t>
      </w:r>
      <w:proofErr w:type="spellEnd"/>
      <w:r w:rsidRPr="005D648E">
        <w:rPr>
          <w:rFonts w:ascii="Arial" w:hAnsi="Arial" w:cs="Arial"/>
          <w:sz w:val="21"/>
          <w:szCs w:val="21"/>
        </w:rPr>
        <w:t xml:space="preserve"> Office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Slovak </w:t>
      </w:r>
      <w:proofErr w:type="spellStart"/>
      <w:r w:rsidRPr="005D648E">
        <w:rPr>
          <w:rFonts w:ascii="Arial" w:hAnsi="Arial" w:cs="Arial"/>
          <w:sz w:val="21"/>
          <w:szCs w:val="21"/>
        </w:rPr>
        <w:t>Republic</w:t>
      </w:r>
      <w:proofErr w:type="spellEnd"/>
      <w:r w:rsidRPr="005D648E">
        <w:rPr>
          <w:rFonts w:ascii="Arial" w:hAnsi="Arial" w:cs="Arial"/>
          <w:sz w:val="21"/>
          <w:szCs w:val="21"/>
        </w:rPr>
        <w:t>.</w:t>
      </w: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weighting</w:t>
      </w:r>
      <w:proofErr w:type="spellEnd"/>
      <w:r w:rsidRPr="005D648E">
        <w:rPr>
          <w:rFonts w:ascii="Arial" w:hAnsi="Arial" w:cs="Arial"/>
          <w:sz w:val="21"/>
          <w:szCs w:val="21"/>
        </w:rPr>
        <w:t xml:space="preserve"> </w:t>
      </w:r>
      <w:proofErr w:type="spellStart"/>
      <w:r w:rsidRPr="005D648E">
        <w:rPr>
          <w:rFonts w:ascii="Arial" w:hAnsi="Arial" w:cs="Arial"/>
          <w:sz w:val="21"/>
          <w:szCs w:val="21"/>
        </w:rPr>
        <w:t>schema</w:t>
      </w:r>
      <w:proofErr w:type="spellEnd"/>
      <w:r w:rsidRPr="005D648E">
        <w:rPr>
          <w:rFonts w:ascii="Arial" w:hAnsi="Arial" w:cs="Arial"/>
          <w:sz w:val="21"/>
          <w:szCs w:val="21"/>
        </w:rPr>
        <w:t xml:space="preserve"> </w:t>
      </w:r>
      <w:proofErr w:type="spellStart"/>
      <w:r w:rsidRPr="005D648E">
        <w:rPr>
          <w:rFonts w:ascii="Arial" w:hAnsi="Arial" w:cs="Arial"/>
          <w:sz w:val="21"/>
          <w:szCs w:val="21"/>
        </w:rPr>
        <w:t>allows</w:t>
      </w:r>
      <w:proofErr w:type="spellEnd"/>
      <w:r w:rsidRPr="005D648E">
        <w:rPr>
          <w:rFonts w:ascii="Arial" w:hAnsi="Arial" w:cs="Arial"/>
          <w:sz w:val="21"/>
          <w:szCs w:val="21"/>
        </w:rPr>
        <w:t xml:space="preserve"> to </w:t>
      </w:r>
      <w:proofErr w:type="spellStart"/>
      <w:r w:rsidRPr="005D648E">
        <w:rPr>
          <w:rFonts w:ascii="Arial" w:hAnsi="Arial" w:cs="Arial"/>
          <w:sz w:val="21"/>
          <w:szCs w:val="21"/>
        </w:rPr>
        <w:t>aggregate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types</w:t>
      </w:r>
      <w:proofErr w:type="spellEnd"/>
      <w:r w:rsidRPr="005D648E">
        <w:rPr>
          <w:rFonts w:ascii="Arial" w:hAnsi="Arial" w:cs="Arial"/>
          <w:sz w:val="21"/>
          <w:szCs w:val="21"/>
        </w:rPr>
        <w:t xml:space="preserve">, </w:t>
      </w:r>
      <w:proofErr w:type="spellStart"/>
      <w:r w:rsidRPr="005D648E">
        <w:rPr>
          <w:rFonts w:ascii="Arial" w:hAnsi="Arial" w:cs="Arial"/>
          <w:sz w:val="21"/>
          <w:szCs w:val="21"/>
        </w:rPr>
        <w:t>divisions</w:t>
      </w:r>
      <w:proofErr w:type="spellEnd"/>
      <w:r w:rsidRPr="005D648E">
        <w:rPr>
          <w:rFonts w:ascii="Arial" w:hAnsi="Arial" w:cs="Arial"/>
          <w:sz w:val="21"/>
          <w:szCs w:val="21"/>
        </w:rPr>
        <w:t xml:space="preserve">, </w:t>
      </w:r>
      <w:proofErr w:type="spellStart"/>
      <w:r w:rsidRPr="005D648E">
        <w:rPr>
          <w:rFonts w:ascii="Arial" w:hAnsi="Arial" w:cs="Arial"/>
          <w:sz w:val="21"/>
          <w:szCs w:val="21"/>
        </w:rPr>
        <w:t>groups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categories</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to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types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(CC) and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divisions</w:t>
      </w:r>
      <w:proofErr w:type="spellEnd"/>
      <w:r w:rsidRPr="005D648E">
        <w:rPr>
          <w:rFonts w:ascii="Arial" w:hAnsi="Arial" w:cs="Arial"/>
          <w:sz w:val="21"/>
          <w:szCs w:val="21"/>
        </w:rPr>
        <w:t xml:space="preserve">, </w:t>
      </w:r>
      <w:proofErr w:type="spellStart"/>
      <w:r w:rsidRPr="005D648E">
        <w:rPr>
          <w:rFonts w:ascii="Arial" w:hAnsi="Arial" w:cs="Arial"/>
          <w:sz w:val="21"/>
          <w:szCs w:val="21"/>
        </w:rPr>
        <w:t>sections</w:t>
      </w:r>
      <w:proofErr w:type="spellEnd"/>
      <w:r w:rsidRPr="005D648E">
        <w:rPr>
          <w:rFonts w:ascii="Arial" w:hAnsi="Arial" w:cs="Arial"/>
          <w:sz w:val="21"/>
          <w:szCs w:val="21"/>
        </w:rPr>
        <w:t xml:space="preserve">, </w:t>
      </w:r>
      <w:proofErr w:type="spellStart"/>
      <w:r w:rsidRPr="005D648E">
        <w:rPr>
          <w:rFonts w:ascii="Arial" w:hAnsi="Arial" w:cs="Arial"/>
          <w:sz w:val="21"/>
          <w:szCs w:val="21"/>
        </w:rPr>
        <w:t>groups</w:t>
      </w:r>
      <w:proofErr w:type="spellEnd"/>
      <w:r w:rsidRPr="005D648E">
        <w:rPr>
          <w:rFonts w:ascii="Arial" w:hAnsi="Arial" w:cs="Arial"/>
          <w:sz w:val="21"/>
          <w:szCs w:val="21"/>
        </w:rPr>
        <w:t xml:space="preserve">, </w:t>
      </w:r>
      <w:proofErr w:type="spellStart"/>
      <w:r w:rsidRPr="005D648E">
        <w:rPr>
          <w:rFonts w:ascii="Arial" w:hAnsi="Arial" w:cs="Arial"/>
          <w:sz w:val="21"/>
          <w:szCs w:val="21"/>
        </w:rPr>
        <w:t>categories</w:t>
      </w:r>
      <w:proofErr w:type="spellEnd"/>
      <w:r w:rsidRPr="005D648E">
        <w:rPr>
          <w:rFonts w:ascii="Arial" w:hAnsi="Arial" w:cs="Arial"/>
          <w:sz w:val="21"/>
          <w:szCs w:val="21"/>
        </w:rPr>
        <w:t xml:space="preserve"> and </w:t>
      </w:r>
      <w:proofErr w:type="spellStart"/>
      <w:r w:rsidRPr="005D648E">
        <w:rPr>
          <w:rFonts w:ascii="Arial" w:hAnsi="Arial" w:cs="Arial"/>
          <w:sz w:val="21"/>
          <w:szCs w:val="21"/>
        </w:rPr>
        <w:t>subcategories</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to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Products</w:t>
      </w:r>
      <w:proofErr w:type="spellEnd"/>
      <w:r w:rsidRPr="005D648E">
        <w:rPr>
          <w:rFonts w:ascii="Arial" w:hAnsi="Arial" w:cs="Arial"/>
          <w:sz w:val="21"/>
          <w:szCs w:val="21"/>
        </w:rPr>
        <w:t xml:space="preserve"> by </w:t>
      </w:r>
      <w:proofErr w:type="spellStart"/>
      <w:r w:rsidRPr="005D648E">
        <w:rPr>
          <w:rFonts w:ascii="Arial" w:hAnsi="Arial" w:cs="Arial"/>
          <w:sz w:val="21"/>
          <w:szCs w:val="21"/>
        </w:rPr>
        <w:t>Activity</w:t>
      </w:r>
      <w:proofErr w:type="spellEnd"/>
      <w:r w:rsidRPr="005D648E">
        <w:rPr>
          <w:rFonts w:ascii="Arial" w:hAnsi="Arial" w:cs="Arial"/>
          <w:sz w:val="21"/>
          <w:szCs w:val="21"/>
        </w:rPr>
        <w:t xml:space="preserve"> (CPA).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average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year</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are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base.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last</w:t>
      </w:r>
      <w:proofErr w:type="spellEnd"/>
      <w:r w:rsidRPr="005D648E">
        <w:rPr>
          <w:rFonts w:ascii="Arial" w:hAnsi="Arial" w:cs="Arial"/>
          <w:sz w:val="21"/>
          <w:szCs w:val="21"/>
        </w:rPr>
        <w:t xml:space="preserve"> </w:t>
      </w:r>
      <w:proofErr w:type="spellStart"/>
      <w:r w:rsidRPr="005D648E">
        <w:rPr>
          <w:rFonts w:ascii="Arial" w:hAnsi="Arial" w:cs="Arial"/>
          <w:sz w:val="21"/>
          <w:szCs w:val="21"/>
        </w:rPr>
        <w:t>known</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take</w:t>
      </w:r>
      <w:proofErr w:type="spellEnd"/>
      <w:r w:rsidRPr="005D648E">
        <w:rPr>
          <w:rFonts w:ascii="Arial" w:hAnsi="Arial" w:cs="Arial"/>
          <w:sz w:val="21"/>
          <w:szCs w:val="21"/>
        </w:rPr>
        <w:t xml:space="preserve">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account</w:t>
      </w:r>
      <w:proofErr w:type="spellEnd"/>
      <w:r w:rsidRPr="005D648E">
        <w:rPr>
          <w:rFonts w:ascii="Arial" w:hAnsi="Arial" w:cs="Arial"/>
          <w:sz w:val="21"/>
          <w:szCs w:val="21"/>
        </w:rPr>
        <w:t xml:space="preserve"> </w:t>
      </w:r>
      <w:proofErr w:type="spellStart"/>
      <w:r w:rsidRPr="005D648E">
        <w:rPr>
          <w:rFonts w:ascii="Arial" w:hAnsi="Arial" w:cs="Arial"/>
          <w:sz w:val="21"/>
          <w:szCs w:val="21"/>
        </w:rPr>
        <w:t>changes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which</w:t>
      </w:r>
      <w:proofErr w:type="spellEnd"/>
      <w:r w:rsidRPr="005D648E">
        <w:rPr>
          <w:rFonts w:ascii="Arial" w:hAnsi="Arial" w:cs="Arial"/>
          <w:sz w:val="21"/>
          <w:szCs w:val="21"/>
        </w:rPr>
        <w:t xml:space="preserve"> </w:t>
      </w:r>
      <w:proofErr w:type="spellStart"/>
      <w:r w:rsidRPr="005D648E">
        <w:rPr>
          <w:rFonts w:ascii="Arial" w:hAnsi="Arial" w:cs="Arial"/>
          <w:sz w:val="21"/>
          <w:szCs w:val="21"/>
        </w:rPr>
        <w:t>occured</w:t>
      </w:r>
      <w:proofErr w:type="spellEnd"/>
      <w:r w:rsidRPr="005D648E">
        <w:rPr>
          <w:rFonts w:ascii="Arial" w:hAnsi="Arial" w:cs="Arial"/>
          <w:sz w:val="21"/>
          <w:szCs w:val="21"/>
        </w:rPr>
        <w:t xml:space="preserve"> </w:t>
      </w:r>
      <w:proofErr w:type="spellStart"/>
      <w:r w:rsidRPr="005D648E">
        <w:rPr>
          <w:rFonts w:ascii="Arial" w:hAnsi="Arial" w:cs="Arial"/>
          <w:sz w:val="21"/>
          <w:szCs w:val="21"/>
        </w:rPr>
        <w:t>between</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w:t>
      </w:r>
      <w:proofErr w:type="spellStart"/>
      <w:r w:rsidRPr="005D648E">
        <w:rPr>
          <w:rFonts w:ascii="Arial" w:hAnsi="Arial" w:cs="Arial"/>
          <w:sz w:val="21"/>
          <w:szCs w:val="21"/>
        </w:rPr>
        <w:t>finding</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in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and </w:t>
      </w:r>
      <w:proofErr w:type="spellStart"/>
      <w:r w:rsidRPr="005D648E">
        <w:rPr>
          <w:rFonts w:ascii="Arial" w:hAnsi="Arial" w:cs="Arial"/>
          <w:sz w:val="21"/>
          <w:szCs w:val="21"/>
        </w:rPr>
        <w:t>current</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and  </w:t>
      </w:r>
      <w:proofErr w:type="spellStart"/>
      <w:r w:rsidRPr="005D648E">
        <w:rPr>
          <w:rFonts w:ascii="Arial" w:hAnsi="Arial" w:cs="Arial"/>
          <w:sz w:val="21"/>
          <w:szCs w:val="21"/>
        </w:rPr>
        <w:t>another</w:t>
      </w:r>
      <w:proofErr w:type="spellEnd"/>
      <w:r w:rsidRPr="005D648E">
        <w:rPr>
          <w:rFonts w:ascii="Arial" w:hAnsi="Arial" w:cs="Arial"/>
          <w:sz w:val="21"/>
          <w:szCs w:val="21"/>
        </w:rPr>
        <w:t xml:space="preserve"> </w:t>
      </w:r>
      <w:proofErr w:type="spellStart"/>
      <w:r w:rsidRPr="005D648E">
        <w:rPr>
          <w:rFonts w:ascii="Arial" w:hAnsi="Arial" w:cs="Arial"/>
          <w:sz w:val="21"/>
          <w:szCs w:val="21"/>
        </w:rPr>
        <w:t>known</w:t>
      </w:r>
      <w:proofErr w:type="spellEnd"/>
      <w:r w:rsidRPr="005D648E">
        <w:rPr>
          <w:rFonts w:ascii="Arial" w:hAnsi="Arial" w:cs="Arial"/>
          <w:sz w:val="21"/>
          <w:szCs w:val="21"/>
        </w:rPr>
        <w:t xml:space="preserve"> or </w:t>
      </w:r>
      <w:proofErr w:type="spellStart"/>
      <w:r w:rsidRPr="005D648E">
        <w:rPr>
          <w:rFonts w:ascii="Arial" w:hAnsi="Arial" w:cs="Arial"/>
          <w:sz w:val="21"/>
          <w:szCs w:val="21"/>
        </w:rPr>
        <w:t>expecting</w:t>
      </w:r>
      <w:proofErr w:type="spellEnd"/>
      <w:r w:rsidRPr="005D648E">
        <w:rPr>
          <w:rFonts w:ascii="Arial" w:hAnsi="Arial" w:cs="Arial"/>
          <w:sz w:val="21"/>
          <w:szCs w:val="21"/>
        </w:rPr>
        <w:t xml:space="preserve"> </w:t>
      </w:r>
      <w:proofErr w:type="spellStart"/>
      <w:r w:rsidRPr="005D648E">
        <w:rPr>
          <w:rFonts w:ascii="Arial" w:hAnsi="Arial" w:cs="Arial"/>
          <w:sz w:val="21"/>
          <w:szCs w:val="21"/>
        </w:rPr>
        <w:t>influences</w:t>
      </w:r>
      <w:proofErr w:type="spellEnd"/>
      <w:r w:rsidRPr="005D648E">
        <w:rPr>
          <w:rFonts w:ascii="Arial" w:hAnsi="Arial" w:cs="Arial"/>
          <w:sz w:val="21"/>
          <w:szCs w:val="21"/>
        </w:rPr>
        <w:t xml:space="preserve"> </w:t>
      </w:r>
      <w:proofErr w:type="spellStart"/>
      <w:r w:rsidRPr="005D648E">
        <w:rPr>
          <w:rFonts w:ascii="Arial" w:hAnsi="Arial" w:cs="Arial"/>
          <w:sz w:val="21"/>
          <w:szCs w:val="21"/>
        </w:rPr>
        <w:t>either</w:t>
      </w:r>
      <w:proofErr w:type="spellEnd"/>
      <w:r w:rsidRPr="005D648E">
        <w:rPr>
          <w:rFonts w:ascii="Arial" w:hAnsi="Arial" w:cs="Arial"/>
          <w:sz w:val="21"/>
          <w:szCs w:val="21"/>
        </w:rPr>
        <w:t>.</w:t>
      </w:r>
    </w:p>
    <w:p w:rsidR="00374386" w:rsidRPr="005D648E" w:rsidRDefault="00374386" w:rsidP="00374386">
      <w:pPr>
        <w:pStyle w:val="Zkladntext3"/>
        <w:spacing w:line="360" w:lineRule="auto"/>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After</w:t>
      </w:r>
      <w:proofErr w:type="spellEnd"/>
      <w:r w:rsidRPr="005D648E">
        <w:rPr>
          <w:rFonts w:ascii="Arial" w:hAnsi="Arial" w:cs="Arial"/>
          <w:sz w:val="21"/>
          <w:szCs w:val="21"/>
        </w:rPr>
        <w:t xml:space="preserve"> </w:t>
      </w:r>
      <w:proofErr w:type="spellStart"/>
      <w:r w:rsidRPr="005D648E">
        <w:rPr>
          <w:rFonts w:ascii="Arial" w:hAnsi="Arial" w:cs="Arial"/>
          <w:sz w:val="21"/>
          <w:szCs w:val="21"/>
        </w:rPr>
        <w:t>finish</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every</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estimate</w:t>
      </w:r>
      <w:proofErr w:type="spellEnd"/>
      <w:r w:rsidRPr="005D648E">
        <w:rPr>
          <w:rFonts w:ascii="Arial" w:hAnsi="Arial" w:cs="Arial"/>
          <w:sz w:val="21"/>
          <w:szCs w:val="21"/>
        </w:rPr>
        <w:t xml:space="preserve"> </w:t>
      </w:r>
      <w:proofErr w:type="spellStart"/>
      <w:r w:rsidRPr="005D648E">
        <w:rPr>
          <w:rFonts w:ascii="Arial" w:hAnsi="Arial" w:cs="Arial"/>
          <w:sz w:val="21"/>
          <w:szCs w:val="21"/>
        </w:rPr>
        <w:t>individual</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last</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are  </w:t>
      </w:r>
      <w:proofErr w:type="spellStart"/>
      <w:r w:rsidRPr="005D648E">
        <w:rPr>
          <w:rFonts w:ascii="Arial" w:hAnsi="Arial" w:cs="Arial"/>
          <w:sz w:val="21"/>
          <w:szCs w:val="21"/>
        </w:rPr>
        <w:t>specified</w:t>
      </w:r>
      <w:proofErr w:type="spellEnd"/>
      <w:r w:rsidRPr="005D648E">
        <w:rPr>
          <w:rFonts w:ascii="Arial" w:hAnsi="Arial" w:cs="Arial"/>
          <w:sz w:val="21"/>
          <w:szCs w:val="21"/>
        </w:rPr>
        <w:t xml:space="preserve"> </w:t>
      </w:r>
      <w:proofErr w:type="spellStart"/>
      <w:r w:rsidRPr="005D648E">
        <w:rPr>
          <w:rFonts w:ascii="Arial" w:hAnsi="Arial" w:cs="Arial"/>
          <w:sz w:val="21"/>
          <w:szCs w:val="21"/>
        </w:rPr>
        <w:t>following</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quarterly</w:t>
      </w:r>
      <w:proofErr w:type="spellEnd"/>
      <w:r w:rsidRPr="005D648E">
        <w:rPr>
          <w:rFonts w:ascii="Arial" w:hAnsi="Arial" w:cs="Arial"/>
          <w:sz w:val="21"/>
          <w:szCs w:val="21"/>
        </w:rPr>
        <w:t xml:space="preserve"> </w:t>
      </w:r>
      <w:proofErr w:type="spellStart"/>
      <w:r w:rsidRPr="005D648E">
        <w:rPr>
          <w:rFonts w:ascii="Arial" w:hAnsi="Arial" w:cs="Arial"/>
          <w:sz w:val="21"/>
          <w:szCs w:val="21"/>
        </w:rPr>
        <w:t>obtained</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repsondents</w:t>
      </w:r>
      <w:proofErr w:type="spellEnd"/>
      <w:r w:rsidRPr="005D648E">
        <w:rPr>
          <w:rFonts w:ascii="Arial" w:hAnsi="Arial" w:cs="Arial"/>
          <w:sz w:val="21"/>
          <w:szCs w:val="21"/>
        </w:rPr>
        <w:t>.</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rPr>
          <w:rFonts w:ascii="Arial" w:hAnsi="Arial" w:cs="Arial"/>
          <w:b/>
          <w:sz w:val="21"/>
          <w:szCs w:val="21"/>
        </w:rPr>
      </w:pPr>
      <w:proofErr w:type="spellStart"/>
      <w:r w:rsidRPr="005D648E">
        <w:rPr>
          <w:rFonts w:ascii="Arial" w:hAnsi="Arial" w:cs="Arial"/>
          <w:b/>
          <w:sz w:val="21"/>
          <w:szCs w:val="21"/>
        </w:rPr>
        <w:t>Methodological</w:t>
      </w:r>
      <w:proofErr w:type="spellEnd"/>
      <w:r w:rsidRPr="005D648E">
        <w:rPr>
          <w:rFonts w:ascii="Arial" w:hAnsi="Arial" w:cs="Arial"/>
          <w:b/>
          <w:sz w:val="21"/>
          <w:szCs w:val="21"/>
        </w:rPr>
        <w:t xml:space="preserve"> notes </w:t>
      </w:r>
      <w:proofErr w:type="spellStart"/>
      <w:r w:rsidRPr="005D648E">
        <w:rPr>
          <w:rFonts w:ascii="Arial" w:hAnsi="Arial" w:cs="Arial"/>
          <w:b/>
          <w:sz w:val="21"/>
          <w:szCs w:val="21"/>
        </w:rPr>
        <w:t>for</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calculation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materials</w:t>
      </w:r>
      <w:proofErr w:type="spellEnd"/>
      <w:r w:rsidRPr="005D648E">
        <w:rPr>
          <w:rFonts w:ascii="Arial" w:hAnsi="Arial" w:cs="Arial"/>
          <w:b/>
          <w:sz w:val="21"/>
          <w:szCs w:val="21"/>
        </w:rPr>
        <w:t xml:space="preserve"> and </w:t>
      </w:r>
      <w:proofErr w:type="spellStart"/>
      <w:r w:rsidRPr="005D648E">
        <w:rPr>
          <w:rFonts w:ascii="Arial" w:hAnsi="Arial" w:cs="Arial"/>
          <w:b/>
          <w:sz w:val="21"/>
          <w:szCs w:val="21"/>
        </w:rPr>
        <w:t>components</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used</w:t>
      </w:r>
      <w:proofErr w:type="spellEnd"/>
      <w:r w:rsidRPr="005D648E">
        <w:rPr>
          <w:rFonts w:ascii="Arial" w:hAnsi="Arial" w:cs="Arial"/>
          <w:b/>
          <w:sz w:val="21"/>
          <w:szCs w:val="21"/>
        </w:rPr>
        <w:t xml:space="preserve"> in </w:t>
      </w:r>
      <w:proofErr w:type="spellStart"/>
      <w:r w:rsidRPr="005D648E">
        <w:rPr>
          <w:rFonts w:ascii="Arial" w:hAnsi="Arial" w:cs="Arial"/>
          <w:b/>
          <w:sz w:val="21"/>
          <w:szCs w:val="21"/>
        </w:rPr>
        <w:t>construction</w:t>
      </w:r>
      <w:proofErr w:type="spellEnd"/>
    </w:p>
    <w:p w:rsidR="00374386" w:rsidRPr="005D648E" w:rsidRDefault="00374386" w:rsidP="00374386">
      <w:pPr>
        <w:rPr>
          <w:rFonts w:ascii="Arial" w:hAnsi="Arial" w:cs="Arial"/>
          <w:b/>
          <w:sz w:val="21"/>
          <w:szCs w:val="21"/>
        </w:rPr>
      </w:pPr>
      <w:proofErr w:type="spellStart"/>
      <w:r w:rsidRPr="005D648E">
        <w:rPr>
          <w:rFonts w:ascii="Arial" w:hAnsi="Arial" w:cs="Arial"/>
          <w:b/>
          <w:sz w:val="21"/>
          <w:szCs w:val="21"/>
        </w:rPr>
        <w:t>price</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indices</w:t>
      </w:r>
      <w:proofErr w:type="spellEnd"/>
    </w:p>
    <w:p w:rsidR="00374386" w:rsidRPr="005D648E" w:rsidRDefault="00374386" w:rsidP="00374386">
      <w:pPr>
        <w:rPr>
          <w:rFonts w:ascii="Arial" w:hAnsi="Arial" w:cs="Arial"/>
          <w:b/>
          <w:sz w:val="21"/>
          <w:szCs w:val="21"/>
        </w:rPr>
      </w:pPr>
    </w:p>
    <w:p w:rsidR="00374386" w:rsidRPr="005D648E" w:rsidRDefault="00374386" w:rsidP="00374386">
      <w:pPr>
        <w:pStyle w:val="Zkladntext3"/>
        <w:spacing w:line="360" w:lineRule="auto"/>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are </w:t>
      </w:r>
      <w:proofErr w:type="spellStart"/>
      <w:r w:rsidRPr="00442E0A">
        <w:rPr>
          <w:rFonts w:ascii="Arial" w:hAnsi="Arial" w:cs="Arial"/>
          <w:sz w:val="21"/>
          <w:szCs w:val="21"/>
        </w:rPr>
        <w:t>computed</w:t>
      </w:r>
      <w:proofErr w:type="spellEnd"/>
      <w:r w:rsidRPr="00442E0A">
        <w:rPr>
          <w:rFonts w:ascii="Arial" w:hAnsi="Arial" w:cs="Arial"/>
          <w:sz w:val="21"/>
          <w:szCs w:val="21"/>
        </w:rPr>
        <w:t xml:space="preserve"> </w:t>
      </w:r>
      <w:proofErr w:type="spellStart"/>
      <w:r w:rsidRPr="00442E0A">
        <w:rPr>
          <w:rFonts w:ascii="Arial" w:hAnsi="Arial" w:cs="Arial"/>
          <w:sz w:val="21"/>
          <w:szCs w:val="21"/>
        </w:rPr>
        <w:t>for</w:t>
      </w:r>
      <w:proofErr w:type="spellEnd"/>
      <w:r w:rsidRPr="00442E0A">
        <w:rPr>
          <w:rFonts w:ascii="Arial" w:hAnsi="Arial" w:cs="Arial"/>
          <w:sz w:val="21"/>
          <w:szCs w:val="21"/>
        </w:rPr>
        <w:t xml:space="preserve"> </w:t>
      </w:r>
      <w:proofErr w:type="spellStart"/>
      <w:r w:rsidRPr="00442E0A">
        <w:rPr>
          <w:rFonts w:ascii="Arial" w:hAnsi="Arial" w:cs="Arial"/>
          <w:sz w:val="21"/>
          <w:szCs w:val="21"/>
        </w:rPr>
        <w:t>analytical</w:t>
      </w:r>
      <w:proofErr w:type="spellEnd"/>
      <w:r w:rsidRPr="00442E0A">
        <w:rPr>
          <w:rFonts w:ascii="Arial" w:hAnsi="Arial" w:cs="Arial"/>
          <w:sz w:val="21"/>
          <w:szCs w:val="21"/>
        </w:rPr>
        <w:t xml:space="preserve"> </w:t>
      </w:r>
      <w:proofErr w:type="spellStart"/>
      <w:r w:rsidRPr="00442E0A">
        <w:rPr>
          <w:rFonts w:ascii="Arial" w:hAnsi="Arial" w:cs="Arial"/>
          <w:sz w:val="21"/>
          <w:szCs w:val="21"/>
        </w:rPr>
        <w:t>needs</w:t>
      </w:r>
      <w:proofErr w:type="spellEnd"/>
      <w:r w:rsidRPr="00442E0A">
        <w:rPr>
          <w:rFonts w:ascii="Arial" w:hAnsi="Arial" w:cs="Arial"/>
          <w:sz w:val="21"/>
          <w:szCs w:val="21"/>
        </w:rPr>
        <w:t xml:space="preserve">. </w:t>
      </w:r>
      <w:proofErr w:type="spellStart"/>
      <w:r w:rsidRPr="00442E0A">
        <w:rPr>
          <w:rFonts w:ascii="Arial" w:hAnsi="Arial" w:cs="Arial"/>
          <w:sz w:val="21"/>
          <w:szCs w:val="21"/>
        </w:rPr>
        <w:t>The</w:t>
      </w:r>
      <w:proofErr w:type="spellEnd"/>
      <w:r w:rsidRPr="00442E0A">
        <w:rPr>
          <w:rFonts w:ascii="Arial" w:hAnsi="Arial" w:cs="Arial"/>
          <w:sz w:val="21"/>
          <w:szCs w:val="21"/>
        </w:rPr>
        <w:t xml:space="preserve"> </w:t>
      </w:r>
      <w:proofErr w:type="spellStart"/>
      <w:r w:rsidRPr="00442E0A">
        <w:rPr>
          <w:rFonts w:ascii="Arial" w:hAnsi="Arial" w:cs="Arial"/>
          <w:sz w:val="21"/>
          <w:szCs w:val="21"/>
        </w:rPr>
        <w:t>revised</w:t>
      </w:r>
      <w:proofErr w:type="spellEnd"/>
      <w:r w:rsidRPr="00442E0A">
        <w:rPr>
          <w:rFonts w:ascii="Arial" w:hAnsi="Arial" w:cs="Arial"/>
          <w:sz w:val="21"/>
          <w:szCs w:val="21"/>
        </w:rPr>
        <w:t xml:space="preserve"> </w:t>
      </w:r>
      <w:proofErr w:type="spellStart"/>
      <w:r w:rsidRPr="00442E0A">
        <w:rPr>
          <w:rFonts w:ascii="Arial" w:hAnsi="Arial" w:cs="Arial"/>
          <w:sz w:val="21"/>
          <w:szCs w:val="21"/>
        </w:rPr>
        <w:t>indices</w:t>
      </w:r>
      <w:proofErr w:type="spellEnd"/>
      <w:r w:rsidRPr="00442E0A">
        <w:rPr>
          <w:rFonts w:ascii="Arial" w:hAnsi="Arial" w:cs="Arial"/>
          <w:sz w:val="21"/>
          <w:szCs w:val="21"/>
        </w:rPr>
        <w:t xml:space="preserve"> </w:t>
      </w:r>
      <w:proofErr w:type="spellStart"/>
      <w:r w:rsidRPr="00442E0A">
        <w:rPr>
          <w:rFonts w:ascii="Arial" w:hAnsi="Arial" w:cs="Arial"/>
          <w:sz w:val="21"/>
          <w:szCs w:val="21"/>
        </w:rPr>
        <w:t>schema</w:t>
      </w:r>
      <w:proofErr w:type="spellEnd"/>
      <w:r w:rsidRPr="00442E0A">
        <w:rPr>
          <w:rFonts w:ascii="Arial" w:hAnsi="Arial" w:cs="Arial"/>
          <w:sz w:val="21"/>
          <w:szCs w:val="21"/>
        </w:rPr>
        <w:t xml:space="preserve"> </w:t>
      </w:r>
      <w:proofErr w:type="spellStart"/>
      <w:r w:rsidRPr="00442E0A">
        <w:rPr>
          <w:rFonts w:ascii="Arial" w:hAnsi="Arial" w:cs="Arial"/>
          <w:sz w:val="21"/>
          <w:szCs w:val="21"/>
        </w:rPr>
        <w:t>from</w:t>
      </w:r>
      <w:proofErr w:type="spellEnd"/>
      <w:r w:rsidRPr="00442E0A">
        <w:rPr>
          <w:rFonts w:ascii="Arial" w:hAnsi="Arial" w:cs="Arial"/>
          <w:sz w:val="21"/>
          <w:szCs w:val="21"/>
        </w:rPr>
        <w:t xml:space="preserve"> </w:t>
      </w:r>
      <w:proofErr w:type="spellStart"/>
      <w:r w:rsidRPr="00442E0A">
        <w:rPr>
          <w:rFonts w:ascii="Arial" w:hAnsi="Arial" w:cs="Arial"/>
          <w:sz w:val="21"/>
          <w:szCs w:val="21"/>
        </w:rPr>
        <w:t>January</w:t>
      </w:r>
      <w:proofErr w:type="spellEnd"/>
      <w:r w:rsidRPr="00442E0A">
        <w:rPr>
          <w:rFonts w:ascii="Arial" w:hAnsi="Arial" w:cs="Arial"/>
          <w:sz w:val="21"/>
          <w:szCs w:val="21"/>
        </w:rPr>
        <w:t xml:space="preserve"> 20</w:t>
      </w:r>
      <w:r w:rsidR="00442521" w:rsidRPr="00442E0A">
        <w:rPr>
          <w:rFonts w:ascii="Arial" w:hAnsi="Arial" w:cs="Arial"/>
          <w:sz w:val="21"/>
          <w:szCs w:val="21"/>
        </w:rPr>
        <w:t>1</w:t>
      </w:r>
      <w:r w:rsidR="002F161A" w:rsidRPr="00442E0A">
        <w:rPr>
          <w:rFonts w:ascii="Arial" w:hAnsi="Arial" w:cs="Arial"/>
          <w:sz w:val="21"/>
          <w:szCs w:val="21"/>
        </w:rPr>
        <w:t>8</w:t>
      </w:r>
      <w:r w:rsidRPr="00442E0A">
        <w:rPr>
          <w:rFonts w:ascii="Arial" w:hAnsi="Arial" w:cs="Arial"/>
          <w:sz w:val="21"/>
          <w:szCs w:val="21"/>
        </w:rPr>
        <w:t xml:space="preserve"> </w:t>
      </w:r>
      <w:proofErr w:type="spellStart"/>
      <w:r w:rsidRPr="00442E0A">
        <w:rPr>
          <w:rFonts w:ascii="Arial" w:hAnsi="Arial" w:cs="Arial"/>
          <w:sz w:val="21"/>
          <w:szCs w:val="21"/>
        </w:rPr>
        <w:t>includes</w:t>
      </w:r>
      <w:proofErr w:type="spellEnd"/>
      <w:r w:rsidRPr="00442E0A">
        <w:rPr>
          <w:rFonts w:ascii="Arial" w:hAnsi="Arial" w:cs="Arial"/>
          <w:sz w:val="21"/>
          <w:szCs w:val="21"/>
        </w:rPr>
        <w:t xml:space="preserve"> </w:t>
      </w:r>
      <w:r w:rsidR="00681691" w:rsidRPr="00442E0A">
        <w:rPr>
          <w:rFonts w:ascii="Arial" w:hAnsi="Arial" w:cs="Arial"/>
          <w:sz w:val="21"/>
          <w:szCs w:val="21"/>
        </w:rPr>
        <w:t>89</w:t>
      </w:r>
      <w:r w:rsidRPr="005D648E">
        <w:rPr>
          <w:rFonts w:ascii="Arial" w:hAnsi="Arial" w:cs="Arial"/>
          <w:sz w:val="21"/>
          <w:szCs w:val="21"/>
        </w:rPr>
        <w:t xml:space="preserve"> </w:t>
      </w:r>
      <w:proofErr w:type="spellStart"/>
      <w:r w:rsidRPr="005D648E">
        <w:rPr>
          <w:rFonts w:ascii="Arial" w:hAnsi="Arial" w:cs="Arial"/>
          <w:sz w:val="21"/>
          <w:szCs w:val="21"/>
        </w:rPr>
        <w:t>different</w:t>
      </w:r>
      <w:proofErr w:type="spellEnd"/>
      <w:r w:rsidRPr="005D648E">
        <w:rPr>
          <w:rFonts w:ascii="Arial" w:hAnsi="Arial" w:cs="Arial"/>
          <w:sz w:val="21"/>
          <w:szCs w:val="21"/>
        </w:rPr>
        <w:t xml:space="preserve"> </w:t>
      </w:r>
      <w:proofErr w:type="spellStart"/>
      <w:r w:rsidRPr="005D648E">
        <w:rPr>
          <w:rFonts w:ascii="Arial" w:hAnsi="Arial" w:cs="Arial"/>
          <w:sz w:val="21"/>
          <w:szCs w:val="21"/>
        </w:rPr>
        <w:t>branches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which</w:t>
      </w:r>
      <w:proofErr w:type="spellEnd"/>
      <w:r w:rsidRPr="005D648E">
        <w:rPr>
          <w:rFonts w:ascii="Arial" w:hAnsi="Arial" w:cs="Arial"/>
          <w:sz w:val="21"/>
          <w:szCs w:val="21"/>
        </w:rPr>
        <w:t xml:space="preserve"> are </w:t>
      </w:r>
      <w:proofErr w:type="spellStart"/>
      <w:r w:rsidRPr="005D648E">
        <w:rPr>
          <w:rFonts w:ascii="Arial" w:hAnsi="Arial" w:cs="Arial"/>
          <w:sz w:val="21"/>
          <w:szCs w:val="21"/>
        </w:rPr>
        <w:t>classified</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CPA.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representative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are </w:t>
      </w:r>
      <w:proofErr w:type="spellStart"/>
      <w:r w:rsidRPr="005D648E">
        <w:rPr>
          <w:rFonts w:ascii="Arial" w:hAnsi="Arial" w:cs="Arial"/>
          <w:sz w:val="21"/>
          <w:szCs w:val="21"/>
        </w:rPr>
        <w:t>assumed</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statistics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industrial</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producer</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weigths</w:t>
      </w:r>
      <w:proofErr w:type="spellEnd"/>
      <w:r w:rsidRPr="005D648E">
        <w:rPr>
          <w:rFonts w:ascii="Arial" w:hAnsi="Arial" w:cs="Arial"/>
          <w:sz w:val="21"/>
          <w:szCs w:val="21"/>
        </w:rPr>
        <w:t xml:space="preserve"> </w:t>
      </w:r>
      <w:proofErr w:type="spellStart"/>
      <w:r w:rsidRPr="005D648E">
        <w:rPr>
          <w:rFonts w:ascii="Arial" w:hAnsi="Arial" w:cs="Arial"/>
          <w:sz w:val="21"/>
          <w:szCs w:val="21"/>
        </w:rPr>
        <w:t>for</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calculation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are </w:t>
      </w:r>
      <w:proofErr w:type="spellStart"/>
      <w:r w:rsidRPr="005D648E">
        <w:rPr>
          <w:rFonts w:ascii="Arial" w:hAnsi="Arial" w:cs="Arial"/>
          <w:sz w:val="21"/>
          <w:szCs w:val="21"/>
        </w:rPr>
        <w:t>derived</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relative</w:t>
      </w:r>
      <w:proofErr w:type="spellEnd"/>
      <w:r w:rsidRPr="005D648E">
        <w:rPr>
          <w:rFonts w:ascii="Arial" w:hAnsi="Arial" w:cs="Arial"/>
          <w:sz w:val="21"/>
          <w:szCs w:val="21"/>
        </w:rPr>
        <w:t xml:space="preserve"> </w:t>
      </w:r>
      <w:proofErr w:type="spellStart"/>
      <w:r w:rsidRPr="005D648E">
        <w:rPr>
          <w:rFonts w:ascii="Arial" w:hAnsi="Arial" w:cs="Arial"/>
          <w:sz w:val="21"/>
          <w:szCs w:val="21"/>
        </w:rPr>
        <w:t>ratio</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a </w:t>
      </w:r>
      <w:proofErr w:type="spellStart"/>
      <w:r w:rsidRPr="005D648E">
        <w:rPr>
          <w:rFonts w:ascii="Arial" w:hAnsi="Arial" w:cs="Arial"/>
          <w:sz w:val="21"/>
          <w:szCs w:val="21"/>
        </w:rPr>
        <w:t>representative</w:t>
      </w:r>
      <w:proofErr w:type="spellEnd"/>
      <w:r w:rsidRPr="005D648E">
        <w:rPr>
          <w:rFonts w:ascii="Arial" w:hAnsi="Arial" w:cs="Arial"/>
          <w:sz w:val="21"/>
          <w:szCs w:val="21"/>
        </w:rPr>
        <w:t xml:space="preserve"> </w:t>
      </w:r>
      <w:proofErr w:type="spellStart"/>
      <w:r w:rsidRPr="005D648E">
        <w:rPr>
          <w:rFonts w:ascii="Arial" w:hAnsi="Arial" w:cs="Arial"/>
          <w:sz w:val="21"/>
          <w:szCs w:val="21"/>
        </w:rPr>
        <w:t>value</w:t>
      </w:r>
      <w:proofErr w:type="spellEnd"/>
      <w:r w:rsidRPr="005D648E">
        <w:rPr>
          <w:rFonts w:ascii="Arial" w:hAnsi="Arial" w:cs="Arial"/>
          <w:sz w:val="21"/>
          <w:szCs w:val="21"/>
        </w:rPr>
        <w:t xml:space="preserve"> </w:t>
      </w:r>
      <w:proofErr w:type="spellStart"/>
      <w:r w:rsidRPr="005D648E">
        <w:rPr>
          <w:rFonts w:ascii="Arial" w:hAnsi="Arial" w:cs="Arial"/>
          <w:sz w:val="21"/>
          <w:szCs w:val="21"/>
        </w:rPr>
        <w:t>at</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total</w:t>
      </w:r>
      <w:proofErr w:type="spellEnd"/>
      <w:r w:rsidRPr="005D648E">
        <w:rPr>
          <w:rFonts w:ascii="Arial" w:hAnsi="Arial" w:cs="Arial"/>
          <w:sz w:val="21"/>
          <w:szCs w:val="21"/>
        </w:rPr>
        <w:t xml:space="preserve"> </w:t>
      </w:r>
      <w:proofErr w:type="spellStart"/>
      <w:r w:rsidRPr="005D648E">
        <w:rPr>
          <w:rFonts w:ascii="Arial" w:hAnsi="Arial" w:cs="Arial"/>
          <w:sz w:val="21"/>
          <w:szCs w:val="21"/>
        </w:rPr>
        <w:t>value</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an</w:t>
      </w:r>
      <w:proofErr w:type="spellEnd"/>
      <w:r w:rsidRPr="005D648E">
        <w:rPr>
          <w:rFonts w:ascii="Arial" w:hAnsi="Arial" w:cs="Arial"/>
          <w:sz w:val="21"/>
          <w:szCs w:val="21"/>
        </w:rPr>
        <w:t xml:space="preserve"> </w:t>
      </w:r>
      <w:proofErr w:type="spellStart"/>
      <w:r w:rsidRPr="005D648E">
        <w:rPr>
          <w:rFonts w:ascii="Arial" w:hAnsi="Arial" w:cs="Arial"/>
          <w:sz w:val="21"/>
          <w:szCs w:val="21"/>
        </w:rPr>
        <w:t>appropriate</w:t>
      </w:r>
      <w:proofErr w:type="spellEnd"/>
      <w:r w:rsidRPr="005D648E">
        <w:rPr>
          <w:rFonts w:ascii="Arial" w:hAnsi="Arial" w:cs="Arial"/>
          <w:sz w:val="21"/>
          <w:szCs w:val="21"/>
        </w:rPr>
        <w:t xml:space="preserve"> </w:t>
      </w:r>
      <w:proofErr w:type="spellStart"/>
      <w:r w:rsidRPr="005D648E">
        <w:rPr>
          <w:rFonts w:ascii="Arial" w:hAnsi="Arial" w:cs="Arial"/>
          <w:sz w:val="21"/>
          <w:szCs w:val="21"/>
        </w:rPr>
        <w:t>kind</w:t>
      </w:r>
      <w:proofErr w:type="spellEnd"/>
      <w:r w:rsidRPr="005D648E">
        <w:rPr>
          <w:rFonts w:ascii="Arial" w:hAnsi="Arial" w:cs="Arial"/>
          <w:sz w:val="21"/>
          <w:szCs w:val="21"/>
        </w:rPr>
        <w:t xml:space="preserve"> and type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building</w:t>
      </w:r>
      <w:proofErr w:type="spellEnd"/>
      <w:r w:rsidRPr="005D648E">
        <w:rPr>
          <w:rFonts w:ascii="Arial" w:hAnsi="Arial" w:cs="Arial"/>
          <w:sz w:val="21"/>
          <w:szCs w:val="21"/>
        </w:rPr>
        <w:t xml:space="preserve"> and in a </w:t>
      </w:r>
      <w:proofErr w:type="spellStart"/>
      <w:r w:rsidRPr="005D648E">
        <w:rPr>
          <w:rFonts w:ascii="Arial" w:hAnsi="Arial" w:cs="Arial"/>
          <w:sz w:val="21"/>
          <w:szCs w:val="21"/>
        </w:rPr>
        <w:t>total</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in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year</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base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is</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average</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w:t>
      </w:r>
    </w:p>
    <w:p w:rsidR="00374386" w:rsidRPr="005D648E" w:rsidRDefault="00374386" w:rsidP="00374386">
      <w:pPr>
        <w:rPr>
          <w:rFonts w:ascii="Arial" w:hAnsi="Arial" w:cs="Arial"/>
          <w:sz w:val="21"/>
          <w:szCs w:val="21"/>
        </w:rPr>
      </w:pPr>
    </w:p>
    <w:p w:rsidR="00374386" w:rsidRPr="005D648E" w:rsidRDefault="00374386" w:rsidP="00374386">
      <w:pPr>
        <w:rPr>
          <w:rFonts w:ascii="Arial" w:hAnsi="Arial" w:cs="Arial"/>
          <w:sz w:val="21"/>
          <w:szCs w:val="21"/>
        </w:rPr>
      </w:pPr>
    </w:p>
    <w:p w:rsidR="00374386" w:rsidRPr="005D648E" w:rsidRDefault="00374386">
      <w:pPr>
        <w:rPr>
          <w:rFonts w:ascii="Arial" w:hAnsi="Arial" w:cs="Arial"/>
          <w:sz w:val="21"/>
          <w:szCs w:val="21"/>
        </w:rPr>
      </w:pPr>
    </w:p>
    <w:sectPr w:rsidR="00374386" w:rsidRPr="005D648E" w:rsidSect="00612DB7">
      <w:pgSz w:w="11907" w:h="16834" w:code="9"/>
      <w:pgMar w:top="1412" w:right="2552" w:bottom="1412" w:left="141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mpacta AT">
    <w:panose1 w:val="00000000000000000000"/>
    <w:charset w:val="00"/>
    <w:family w:val="auto"/>
    <w:pitch w:val="variable"/>
    <w:sig w:usb0="00000007" w:usb1="00000000" w:usb2="00000000" w:usb3="00000000" w:csb0="00000003"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rsids>
    <w:rsidRoot w:val="0046200D"/>
    <w:rsid w:val="00005477"/>
    <w:rsid w:val="00015684"/>
    <w:rsid w:val="00024E5B"/>
    <w:rsid w:val="00026D3E"/>
    <w:rsid w:val="00034B2A"/>
    <w:rsid w:val="00046BE3"/>
    <w:rsid w:val="00051711"/>
    <w:rsid w:val="00052E9C"/>
    <w:rsid w:val="00055365"/>
    <w:rsid w:val="000802F2"/>
    <w:rsid w:val="000806FB"/>
    <w:rsid w:val="00082258"/>
    <w:rsid w:val="000927DD"/>
    <w:rsid w:val="000A0436"/>
    <w:rsid w:val="000A3778"/>
    <w:rsid w:val="000B24F9"/>
    <w:rsid w:val="000C34C3"/>
    <w:rsid w:val="000C6370"/>
    <w:rsid w:val="000E5E40"/>
    <w:rsid w:val="000E7423"/>
    <w:rsid w:val="000F13B5"/>
    <w:rsid w:val="00100804"/>
    <w:rsid w:val="00103ED1"/>
    <w:rsid w:val="00107C97"/>
    <w:rsid w:val="001152D0"/>
    <w:rsid w:val="00120174"/>
    <w:rsid w:val="00130106"/>
    <w:rsid w:val="00130594"/>
    <w:rsid w:val="00136509"/>
    <w:rsid w:val="001379C6"/>
    <w:rsid w:val="001409B5"/>
    <w:rsid w:val="00142658"/>
    <w:rsid w:val="0014655E"/>
    <w:rsid w:val="00171AF3"/>
    <w:rsid w:val="00176018"/>
    <w:rsid w:val="0019213D"/>
    <w:rsid w:val="001A10D3"/>
    <w:rsid w:val="001A7DEA"/>
    <w:rsid w:val="001B4A52"/>
    <w:rsid w:val="001B7378"/>
    <w:rsid w:val="001B7D36"/>
    <w:rsid w:val="001C4B42"/>
    <w:rsid w:val="001D73F2"/>
    <w:rsid w:val="001E0BC6"/>
    <w:rsid w:val="001E3F16"/>
    <w:rsid w:val="001F778C"/>
    <w:rsid w:val="00203EE4"/>
    <w:rsid w:val="00205732"/>
    <w:rsid w:val="00210A36"/>
    <w:rsid w:val="002136D4"/>
    <w:rsid w:val="002159B3"/>
    <w:rsid w:val="00227EB6"/>
    <w:rsid w:val="00227FC2"/>
    <w:rsid w:val="00232D72"/>
    <w:rsid w:val="00236B8D"/>
    <w:rsid w:val="00236EB2"/>
    <w:rsid w:val="00241A49"/>
    <w:rsid w:val="00243FD4"/>
    <w:rsid w:val="002723E0"/>
    <w:rsid w:val="00276BB4"/>
    <w:rsid w:val="00277BA0"/>
    <w:rsid w:val="00277FB2"/>
    <w:rsid w:val="002864F0"/>
    <w:rsid w:val="00293599"/>
    <w:rsid w:val="002A585A"/>
    <w:rsid w:val="002B20ED"/>
    <w:rsid w:val="002D728D"/>
    <w:rsid w:val="002F161A"/>
    <w:rsid w:val="002F4B8A"/>
    <w:rsid w:val="002F55E5"/>
    <w:rsid w:val="00301E94"/>
    <w:rsid w:val="0033351C"/>
    <w:rsid w:val="00342223"/>
    <w:rsid w:val="0035662C"/>
    <w:rsid w:val="003607AE"/>
    <w:rsid w:val="00362CE5"/>
    <w:rsid w:val="003637B8"/>
    <w:rsid w:val="00374386"/>
    <w:rsid w:val="003A5478"/>
    <w:rsid w:val="003B203C"/>
    <w:rsid w:val="003B4B2E"/>
    <w:rsid w:val="003C2D54"/>
    <w:rsid w:val="003D0045"/>
    <w:rsid w:val="003D527B"/>
    <w:rsid w:val="003E4F72"/>
    <w:rsid w:val="003F76DC"/>
    <w:rsid w:val="00402DF9"/>
    <w:rsid w:val="00404669"/>
    <w:rsid w:val="00406C43"/>
    <w:rsid w:val="0041378C"/>
    <w:rsid w:val="0042452A"/>
    <w:rsid w:val="004262A2"/>
    <w:rsid w:val="0042772E"/>
    <w:rsid w:val="0044182C"/>
    <w:rsid w:val="00441ECB"/>
    <w:rsid w:val="00442521"/>
    <w:rsid w:val="00442E0A"/>
    <w:rsid w:val="0044624C"/>
    <w:rsid w:val="00452B94"/>
    <w:rsid w:val="00454302"/>
    <w:rsid w:val="0046200D"/>
    <w:rsid w:val="0046243E"/>
    <w:rsid w:val="00481EFE"/>
    <w:rsid w:val="00491A58"/>
    <w:rsid w:val="00493A41"/>
    <w:rsid w:val="004968CD"/>
    <w:rsid w:val="004A012A"/>
    <w:rsid w:val="004B13B8"/>
    <w:rsid w:val="004B578A"/>
    <w:rsid w:val="004C7A36"/>
    <w:rsid w:val="004E0ED3"/>
    <w:rsid w:val="004E5718"/>
    <w:rsid w:val="004F0D8A"/>
    <w:rsid w:val="004F6ADF"/>
    <w:rsid w:val="004F7782"/>
    <w:rsid w:val="00503BFC"/>
    <w:rsid w:val="005109C5"/>
    <w:rsid w:val="00516EFB"/>
    <w:rsid w:val="00521DB0"/>
    <w:rsid w:val="0054433E"/>
    <w:rsid w:val="00546A09"/>
    <w:rsid w:val="00555B42"/>
    <w:rsid w:val="005671A1"/>
    <w:rsid w:val="005755F5"/>
    <w:rsid w:val="00580EB5"/>
    <w:rsid w:val="0058526C"/>
    <w:rsid w:val="00586C5F"/>
    <w:rsid w:val="005C0900"/>
    <w:rsid w:val="005C783A"/>
    <w:rsid w:val="005D2A87"/>
    <w:rsid w:val="005D648E"/>
    <w:rsid w:val="005E0305"/>
    <w:rsid w:val="005E2AFB"/>
    <w:rsid w:val="005E5CBA"/>
    <w:rsid w:val="005E5CC9"/>
    <w:rsid w:val="005E66E8"/>
    <w:rsid w:val="0060079D"/>
    <w:rsid w:val="00612DB7"/>
    <w:rsid w:val="00616932"/>
    <w:rsid w:val="00622DCD"/>
    <w:rsid w:val="00626D8F"/>
    <w:rsid w:val="00631C89"/>
    <w:rsid w:val="00636F49"/>
    <w:rsid w:val="006402A6"/>
    <w:rsid w:val="00646073"/>
    <w:rsid w:val="00651B29"/>
    <w:rsid w:val="00656C17"/>
    <w:rsid w:val="00667784"/>
    <w:rsid w:val="006814FF"/>
    <w:rsid w:val="00681691"/>
    <w:rsid w:val="006824A9"/>
    <w:rsid w:val="00687132"/>
    <w:rsid w:val="00696B7F"/>
    <w:rsid w:val="006A25CC"/>
    <w:rsid w:val="006A30A8"/>
    <w:rsid w:val="006A5EB9"/>
    <w:rsid w:val="006A6FE8"/>
    <w:rsid w:val="006C500C"/>
    <w:rsid w:val="006D0FF3"/>
    <w:rsid w:val="006E047F"/>
    <w:rsid w:val="006F515C"/>
    <w:rsid w:val="006F7CD7"/>
    <w:rsid w:val="0070203A"/>
    <w:rsid w:val="007039F8"/>
    <w:rsid w:val="007048F0"/>
    <w:rsid w:val="007103EE"/>
    <w:rsid w:val="00720286"/>
    <w:rsid w:val="00727D07"/>
    <w:rsid w:val="00732BD3"/>
    <w:rsid w:val="00737CEB"/>
    <w:rsid w:val="00737CED"/>
    <w:rsid w:val="007436BD"/>
    <w:rsid w:val="00744204"/>
    <w:rsid w:val="00750446"/>
    <w:rsid w:val="007615EF"/>
    <w:rsid w:val="007739BF"/>
    <w:rsid w:val="007A2144"/>
    <w:rsid w:val="007A76ED"/>
    <w:rsid w:val="007B1DCF"/>
    <w:rsid w:val="007C3CED"/>
    <w:rsid w:val="007C4C5F"/>
    <w:rsid w:val="007C72F4"/>
    <w:rsid w:val="007D18C9"/>
    <w:rsid w:val="007D63A9"/>
    <w:rsid w:val="007E32C7"/>
    <w:rsid w:val="007F0F37"/>
    <w:rsid w:val="007F1AE8"/>
    <w:rsid w:val="00803C0D"/>
    <w:rsid w:val="0081311F"/>
    <w:rsid w:val="00815981"/>
    <w:rsid w:val="00815CE3"/>
    <w:rsid w:val="00826444"/>
    <w:rsid w:val="00830750"/>
    <w:rsid w:val="00842F04"/>
    <w:rsid w:val="00853707"/>
    <w:rsid w:val="00872284"/>
    <w:rsid w:val="00885C4F"/>
    <w:rsid w:val="0089330A"/>
    <w:rsid w:val="00895B54"/>
    <w:rsid w:val="00897B03"/>
    <w:rsid w:val="008F06F2"/>
    <w:rsid w:val="008F2BDB"/>
    <w:rsid w:val="00900042"/>
    <w:rsid w:val="00906AAA"/>
    <w:rsid w:val="00917766"/>
    <w:rsid w:val="00921EFD"/>
    <w:rsid w:val="00923322"/>
    <w:rsid w:val="0093230B"/>
    <w:rsid w:val="00936133"/>
    <w:rsid w:val="00943673"/>
    <w:rsid w:val="009459A1"/>
    <w:rsid w:val="00952E5F"/>
    <w:rsid w:val="00957DF9"/>
    <w:rsid w:val="0096047F"/>
    <w:rsid w:val="00964F2C"/>
    <w:rsid w:val="009663A0"/>
    <w:rsid w:val="009756ED"/>
    <w:rsid w:val="00983CC8"/>
    <w:rsid w:val="009863EE"/>
    <w:rsid w:val="009875CC"/>
    <w:rsid w:val="00996DE8"/>
    <w:rsid w:val="009A7ADE"/>
    <w:rsid w:val="009B51E8"/>
    <w:rsid w:val="009B5956"/>
    <w:rsid w:val="009C6234"/>
    <w:rsid w:val="009C664C"/>
    <w:rsid w:val="009C7BA5"/>
    <w:rsid w:val="009F38FE"/>
    <w:rsid w:val="009F7455"/>
    <w:rsid w:val="00A0007D"/>
    <w:rsid w:val="00A04D2E"/>
    <w:rsid w:val="00A121A2"/>
    <w:rsid w:val="00A12F1C"/>
    <w:rsid w:val="00A1440E"/>
    <w:rsid w:val="00A14931"/>
    <w:rsid w:val="00A2050C"/>
    <w:rsid w:val="00A268BC"/>
    <w:rsid w:val="00A3359D"/>
    <w:rsid w:val="00A4128B"/>
    <w:rsid w:val="00A43BDC"/>
    <w:rsid w:val="00A564BE"/>
    <w:rsid w:val="00A62D30"/>
    <w:rsid w:val="00A66427"/>
    <w:rsid w:val="00A673CF"/>
    <w:rsid w:val="00A74D76"/>
    <w:rsid w:val="00A83C25"/>
    <w:rsid w:val="00A87680"/>
    <w:rsid w:val="00A92E08"/>
    <w:rsid w:val="00AA2473"/>
    <w:rsid w:val="00AB4229"/>
    <w:rsid w:val="00AC5E19"/>
    <w:rsid w:val="00AD234E"/>
    <w:rsid w:val="00AD315F"/>
    <w:rsid w:val="00AD6222"/>
    <w:rsid w:val="00AD6BC3"/>
    <w:rsid w:val="00AE52A1"/>
    <w:rsid w:val="00AE6425"/>
    <w:rsid w:val="00AF4949"/>
    <w:rsid w:val="00AF5909"/>
    <w:rsid w:val="00AF7D39"/>
    <w:rsid w:val="00B07B68"/>
    <w:rsid w:val="00B113A0"/>
    <w:rsid w:val="00B1272D"/>
    <w:rsid w:val="00B2045B"/>
    <w:rsid w:val="00B20B57"/>
    <w:rsid w:val="00B21167"/>
    <w:rsid w:val="00B247CB"/>
    <w:rsid w:val="00B27553"/>
    <w:rsid w:val="00B31260"/>
    <w:rsid w:val="00B3442F"/>
    <w:rsid w:val="00B34684"/>
    <w:rsid w:val="00B56BBE"/>
    <w:rsid w:val="00B64870"/>
    <w:rsid w:val="00B8364F"/>
    <w:rsid w:val="00B83FEB"/>
    <w:rsid w:val="00B905AF"/>
    <w:rsid w:val="00B92B1A"/>
    <w:rsid w:val="00B97F63"/>
    <w:rsid w:val="00BA098A"/>
    <w:rsid w:val="00BB34EC"/>
    <w:rsid w:val="00BB6417"/>
    <w:rsid w:val="00BC44A7"/>
    <w:rsid w:val="00BC4D3A"/>
    <w:rsid w:val="00BE02EF"/>
    <w:rsid w:val="00BE5D83"/>
    <w:rsid w:val="00BE76B2"/>
    <w:rsid w:val="00BF6C40"/>
    <w:rsid w:val="00BF6DB2"/>
    <w:rsid w:val="00C01EF0"/>
    <w:rsid w:val="00C03126"/>
    <w:rsid w:val="00C03753"/>
    <w:rsid w:val="00C06DA8"/>
    <w:rsid w:val="00C1012E"/>
    <w:rsid w:val="00C11CED"/>
    <w:rsid w:val="00C172E4"/>
    <w:rsid w:val="00C1766A"/>
    <w:rsid w:val="00C221AE"/>
    <w:rsid w:val="00C26570"/>
    <w:rsid w:val="00C32B59"/>
    <w:rsid w:val="00C43729"/>
    <w:rsid w:val="00C46A18"/>
    <w:rsid w:val="00C70544"/>
    <w:rsid w:val="00C720B7"/>
    <w:rsid w:val="00C752DA"/>
    <w:rsid w:val="00C91AE0"/>
    <w:rsid w:val="00C94CE8"/>
    <w:rsid w:val="00CA7CF7"/>
    <w:rsid w:val="00CB238F"/>
    <w:rsid w:val="00CC2F5C"/>
    <w:rsid w:val="00CC3B41"/>
    <w:rsid w:val="00CC4608"/>
    <w:rsid w:val="00CE33F9"/>
    <w:rsid w:val="00CE56C4"/>
    <w:rsid w:val="00CE6E3A"/>
    <w:rsid w:val="00CF03E3"/>
    <w:rsid w:val="00CF4833"/>
    <w:rsid w:val="00CF7AAD"/>
    <w:rsid w:val="00D07566"/>
    <w:rsid w:val="00D13CA0"/>
    <w:rsid w:val="00D1689A"/>
    <w:rsid w:val="00D26802"/>
    <w:rsid w:val="00D31D66"/>
    <w:rsid w:val="00D332E3"/>
    <w:rsid w:val="00D41161"/>
    <w:rsid w:val="00D429CC"/>
    <w:rsid w:val="00D44C5B"/>
    <w:rsid w:val="00D474DD"/>
    <w:rsid w:val="00D475AD"/>
    <w:rsid w:val="00D534A3"/>
    <w:rsid w:val="00D55C6D"/>
    <w:rsid w:val="00D63C2C"/>
    <w:rsid w:val="00D74E9F"/>
    <w:rsid w:val="00D76853"/>
    <w:rsid w:val="00D8202C"/>
    <w:rsid w:val="00D82379"/>
    <w:rsid w:val="00D9588D"/>
    <w:rsid w:val="00DB0071"/>
    <w:rsid w:val="00DB0CA8"/>
    <w:rsid w:val="00DB5746"/>
    <w:rsid w:val="00DD65F3"/>
    <w:rsid w:val="00DE19FA"/>
    <w:rsid w:val="00DE2369"/>
    <w:rsid w:val="00E057AE"/>
    <w:rsid w:val="00E1175E"/>
    <w:rsid w:val="00E16D3D"/>
    <w:rsid w:val="00E21210"/>
    <w:rsid w:val="00E25BAC"/>
    <w:rsid w:val="00E40AE7"/>
    <w:rsid w:val="00E43263"/>
    <w:rsid w:val="00E4542C"/>
    <w:rsid w:val="00E5515E"/>
    <w:rsid w:val="00E5541B"/>
    <w:rsid w:val="00E613CF"/>
    <w:rsid w:val="00E62B28"/>
    <w:rsid w:val="00E64243"/>
    <w:rsid w:val="00E64D84"/>
    <w:rsid w:val="00E76051"/>
    <w:rsid w:val="00E96CBB"/>
    <w:rsid w:val="00E96E87"/>
    <w:rsid w:val="00EB1F23"/>
    <w:rsid w:val="00EB652F"/>
    <w:rsid w:val="00EC19C9"/>
    <w:rsid w:val="00ED543E"/>
    <w:rsid w:val="00ED5D86"/>
    <w:rsid w:val="00EE341F"/>
    <w:rsid w:val="00EF1810"/>
    <w:rsid w:val="00EF768E"/>
    <w:rsid w:val="00F010FC"/>
    <w:rsid w:val="00F04A11"/>
    <w:rsid w:val="00F05623"/>
    <w:rsid w:val="00F41146"/>
    <w:rsid w:val="00F416AB"/>
    <w:rsid w:val="00F41FD9"/>
    <w:rsid w:val="00F551BD"/>
    <w:rsid w:val="00F56DF0"/>
    <w:rsid w:val="00F57AA6"/>
    <w:rsid w:val="00F62E4E"/>
    <w:rsid w:val="00F66EF9"/>
    <w:rsid w:val="00F72CAC"/>
    <w:rsid w:val="00F77ED3"/>
    <w:rsid w:val="00F91EDB"/>
    <w:rsid w:val="00F944AB"/>
    <w:rsid w:val="00FA65F1"/>
    <w:rsid w:val="00FB1F64"/>
    <w:rsid w:val="00FC56B7"/>
    <w:rsid w:val="00FD06C2"/>
    <w:rsid w:val="00FD2456"/>
    <w:rsid w:val="00FD403B"/>
    <w:rsid w:val="00FD4FE2"/>
    <w:rsid w:val="00FE2222"/>
    <w:rsid w:val="00FF694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DB7"/>
    <w:rPr>
      <w:lang w:eastAsia="cs-CZ"/>
    </w:rPr>
  </w:style>
  <w:style w:type="paragraph" w:styleId="Nadpis1">
    <w:name w:val="heading 1"/>
    <w:basedOn w:val="Normln"/>
    <w:next w:val="Normln"/>
    <w:link w:val="Nadpis1Char"/>
    <w:qFormat/>
    <w:rsid w:val="00374386"/>
    <w:pPr>
      <w:keepNext/>
      <w:tabs>
        <w:tab w:val="left" w:pos="5529"/>
      </w:tabs>
      <w:outlineLvl w:val="0"/>
    </w:pPr>
    <w:rPr>
      <w:rFonts w:ascii="Arial" w:hAnsi="Arial"/>
      <w:iCs/>
      <w:sz w:val="24"/>
    </w:rPr>
  </w:style>
  <w:style w:type="paragraph" w:styleId="Nadpis2">
    <w:name w:val="heading 2"/>
    <w:basedOn w:val="Normln"/>
    <w:next w:val="Normln"/>
    <w:link w:val="Nadpis2Char"/>
    <w:uiPriority w:val="9"/>
    <w:semiHidden/>
    <w:unhideWhenUsed/>
    <w:qFormat/>
    <w:rsid w:val="003743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74386"/>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qFormat/>
    <w:rsid w:val="00374386"/>
    <w:pPr>
      <w:keepNext/>
      <w:overflowPunct w:val="0"/>
      <w:autoSpaceDE w:val="0"/>
      <w:autoSpaceDN w:val="0"/>
      <w:adjustRightInd w:val="0"/>
      <w:jc w:val="both"/>
      <w:textAlignment w:val="baseline"/>
      <w:outlineLvl w:val="7"/>
    </w:pPr>
    <w:rPr>
      <w:rFonts w:ascii="Arial" w:hAnsi="Arial" w:cs="Arial"/>
      <w:b/>
      <w:smallCap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rsid w:val="00612DB7"/>
    <w:rPr>
      <w:rFonts w:ascii="Compacta AT" w:hAnsi="Compacta AT"/>
      <w:sz w:val="92"/>
    </w:rPr>
  </w:style>
  <w:style w:type="character" w:customStyle="1" w:styleId="Nadpis1Char">
    <w:name w:val="Nadpis 1 Char"/>
    <w:basedOn w:val="Standardnpsmoodstavce"/>
    <w:link w:val="Nadpis1"/>
    <w:rsid w:val="00374386"/>
    <w:rPr>
      <w:rFonts w:ascii="Arial" w:hAnsi="Arial"/>
      <w:iCs/>
      <w:sz w:val="24"/>
      <w:lang w:eastAsia="cs-CZ"/>
    </w:rPr>
  </w:style>
  <w:style w:type="character" w:customStyle="1" w:styleId="Nadpis8Char">
    <w:name w:val="Nadpis 8 Char"/>
    <w:basedOn w:val="Standardnpsmoodstavce"/>
    <w:link w:val="Nadpis8"/>
    <w:rsid w:val="00374386"/>
    <w:rPr>
      <w:rFonts w:ascii="Arial" w:hAnsi="Arial" w:cs="Arial"/>
      <w:b/>
      <w:smallCaps/>
      <w:sz w:val="22"/>
      <w:lang w:val="en-GB" w:eastAsia="cs-CZ"/>
    </w:rPr>
  </w:style>
  <w:style w:type="character" w:styleId="Hypertextovodkaz">
    <w:name w:val="Hyperlink"/>
    <w:basedOn w:val="Standardnpsmoodstavce"/>
    <w:rsid w:val="00374386"/>
    <w:rPr>
      <w:color w:val="0000FF"/>
      <w:u w:val="single"/>
    </w:rPr>
  </w:style>
  <w:style w:type="character" w:customStyle="1" w:styleId="Nadpis2Char">
    <w:name w:val="Nadpis 2 Char"/>
    <w:basedOn w:val="Standardnpsmoodstavce"/>
    <w:link w:val="Nadpis2"/>
    <w:uiPriority w:val="9"/>
    <w:semiHidden/>
    <w:rsid w:val="00374386"/>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374386"/>
    <w:rPr>
      <w:rFonts w:asciiTheme="majorHAnsi" w:eastAsiaTheme="majorEastAsia" w:hAnsiTheme="majorHAnsi" w:cstheme="majorBidi"/>
      <w:b/>
      <w:bCs/>
      <w:color w:val="4F81BD" w:themeColor="accent1"/>
      <w:lang w:eastAsia="cs-CZ"/>
    </w:rPr>
  </w:style>
  <w:style w:type="paragraph" w:styleId="Textpoznpodarou">
    <w:name w:val="footnote text"/>
    <w:basedOn w:val="Normln"/>
    <w:link w:val="TextpoznpodarouChar"/>
    <w:semiHidden/>
    <w:rsid w:val="00374386"/>
    <w:pPr>
      <w:widowControl w:val="0"/>
    </w:pPr>
    <w:rPr>
      <w:lang w:val="cs-CZ"/>
    </w:rPr>
  </w:style>
  <w:style w:type="character" w:customStyle="1" w:styleId="TextpoznpodarouChar">
    <w:name w:val="Text pozn. pod čarou Char"/>
    <w:basedOn w:val="Standardnpsmoodstavce"/>
    <w:link w:val="Textpoznpodarou"/>
    <w:semiHidden/>
    <w:rsid w:val="00374386"/>
    <w:rPr>
      <w:lang w:val="cs-CZ" w:eastAsia="cs-CZ"/>
    </w:rPr>
  </w:style>
  <w:style w:type="paragraph" w:styleId="Zkladntextodsazen2">
    <w:name w:val="Body Text Indent 2"/>
    <w:basedOn w:val="Normln"/>
    <w:link w:val="Zkladntextodsazen2Char"/>
    <w:semiHidden/>
    <w:rsid w:val="00374386"/>
    <w:pPr>
      <w:spacing w:before="120" w:line="360" w:lineRule="atLeast"/>
      <w:ind w:firstLine="709"/>
      <w:jc w:val="both"/>
    </w:pPr>
    <w:rPr>
      <w:sz w:val="24"/>
    </w:rPr>
  </w:style>
  <w:style w:type="character" w:customStyle="1" w:styleId="Zkladntextodsazen2Char">
    <w:name w:val="Základní text odsazený 2 Char"/>
    <w:basedOn w:val="Standardnpsmoodstavce"/>
    <w:link w:val="Zkladntextodsazen2"/>
    <w:semiHidden/>
    <w:rsid w:val="00374386"/>
    <w:rPr>
      <w:sz w:val="24"/>
      <w:lang w:eastAsia="cs-CZ"/>
    </w:rPr>
  </w:style>
  <w:style w:type="paragraph" w:styleId="Zkladntext3">
    <w:name w:val="Body Text 3"/>
    <w:basedOn w:val="Normln"/>
    <w:link w:val="Zkladntext3Char"/>
    <w:semiHidden/>
    <w:rsid w:val="00374386"/>
    <w:pPr>
      <w:jc w:val="both"/>
    </w:pPr>
    <w:rPr>
      <w:sz w:val="24"/>
    </w:rPr>
  </w:style>
  <w:style w:type="character" w:customStyle="1" w:styleId="Zkladntext3Char">
    <w:name w:val="Základní text 3 Char"/>
    <w:basedOn w:val="Standardnpsmoodstavce"/>
    <w:link w:val="Zkladntext3"/>
    <w:semiHidden/>
    <w:rsid w:val="00374386"/>
    <w:rPr>
      <w:sz w:val="24"/>
      <w:lang w:eastAsia="cs-CZ"/>
    </w:rPr>
  </w:style>
  <w:style w:type="paragraph" w:styleId="Zkladntextodsazen3">
    <w:name w:val="Body Text Indent 3"/>
    <w:basedOn w:val="Normln"/>
    <w:link w:val="Zkladntextodsazen3Char"/>
    <w:semiHidden/>
    <w:rsid w:val="00374386"/>
    <w:pPr>
      <w:spacing w:line="360" w:lineRule="auto"/>
      <w:ind w:firstLine="708"/>
      <w:jc w:val="both"/>
    </w:pPr>
    <w:rPr>
      <w:sz w:val="24"/>
    </w:rPr>
  </w:style>
  <w:style w:type="character" w:customStyle="1" w:styleId="Zkladntextodsazen3Char">
    <w:name w:val="Základní text odsazený 3 Char"/>
    <w:basedOn w:val="Standardnpsmoodstavce"/>
    <w:link w:val="Zkladntextodsazen3"/>
    <w:semiHidden/>
    <w:rsid w:val="00374386"/>
    <w:rPr>
      <w:sz w:val="24"/>
      <w:lang w:eastAsia="cs-CZ"/>
    </w:rPr>
  </w:style>
  <w:style w:type="paragraph" w:styleId="Zkladntextodsazen">
    <w:name w:val="Body Text Indent"/>
    <w:basedOn w:val="Normln"/>
    <w:link w:val="ZkladntextodsazenChar"/>
    <w:uiPriority w:val="99"/>
    <w:semiHidden/>
    <w:unhideWhenUsed/>
    <w:rsid w:val="00656C17"/>
    <w:pPr>
      <w:spacing w:after="120"/>
      <w:ind w:left="283"/>
    </w:pPr>
  </w:style>
  <w:style w:type="character" w:customStyle="1" w:styleId="ZkladntextodsazenChar">
    <w:name w:val="Základní text odsazený Char"/>
    <w:basedOn w:val="Standardnpsmoodstavce"/>
    <w:link w:val="Zkladntextodsazen"/>
    <w:uiPriority w:val="99"/>
    <w:semiHidden/>
    <w:rsid w:val="00656C17"/>
    <w:rPr>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tistics.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tatistics.sk" TargetMode="External"/><Relationship Id="rId5" Type="http://schemas.openxmlformats.org/officeDocument/2006/relationships/hyperlink" Target="http://www.statistics.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E3D73-CFF9-4940-8B27-1FED9C01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1343</Words>
  <Characters>7661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Indexy cien stavebných prác, materiálov a výrobkov spotrebovávaných v stavebníctve v SR</vt:lpstr>
    </vt:vector>
  </TitlesOfParts>
  <Company>SUSR</Company>
  <LinksUpToDate>false</LinksUpToDate>
  <CharactersWithSpaces>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Indexy cien stavebných prác, materiálov a výrobkov spotrebovávaných v stavebníctve v SR</dc:title>
  <dc:subject/>
  <dc:creator>DEFAULT PC</dc:creator>
  <cp:keywords/>
  <dc:description/>
  <cp:lastModifiedBy>vesels</cp:lastModifiedBy>
  <cp:revision>17</cp:revision>
  <cp:lastPrinted>2017-12-15T13:13:00Z</cp:lastPrinted>
  <dcterms:created xsi:type="dcterms:W3CDTF">2019-03-20T06:28:00Z</dcterms:created>
  <dcterms:modified xsi:type="dcterms:W3CDTF">2020-06-17T07:37:00Z</dcterms:modified>
</cp:coreProperties>
</file>