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36" w:type="dxa"/>
        <w:tblInd w:w="113" w:type="dxa"/>
        <w:tblLook w:val="04A0" w:firstRow="1" w:lastRow="0" w:firstColumn="1" w:lastColumn="0" w:noHBand="0" w:noVBand="1"/>
      </w:tblPr>
      <w:tblGrid>
        <w:gridCol w:w="959"/>
        <w:gridCol w:w="5755"/>
        <w:gridCol w:w="2722"/>
      </w:tblGrid>
      <w:tr w:rsidR="00B23A46" w:rsidRPr="00B254CF" w:rsidTr="00594642">
        <w:trPr>
          <w:trHeight w:val="1550"/>
        </w:trPr>
        <w:tc>
          <w:tcPr>
            <w:tcW w:w="9436" w:type="dxa"/>
            <w:gridSpan w:val="3"/>
            <w:shd w:val="clear" w:color="auto" w:fill="auto"/>
          </w:tcPr>
          <w:p w:rsidR="00B23A46" w:rsidRPr="00B254CF" w:rsidRDefault="00B23A46" w:rsidP="00B23A46">
            <w:pPr>
              <w:rPr>
                <w:rFonts w:cs="Arial"/>
                <w:bCs w:val="0"/>
                <w:color w:val="888888"/>
                <w:sz w:val="40"/>
                <w:szCs w:val="40"/>
              </w:rPr>
            </w:pPr>
            <w:r w:rsidRPr="00B254CF">
              <w:rPr>
                <w:rFonts w:cs="Arial"/>
                <w:bCs w:val="0"/>
                <w:color w:val="888888"/>
                <w:sz w:val="40"/>
                <w:szCs w:val="40"/>
              </w:rPr>
              <w:t>Štatistický úrad Slovenskej republiky</w:t>
            </w:r>
          </w:p>
        </w:tc>
      </w:tr>
      <w:tr w:rsidR="00B23A46" w:rsidRPr="00B254CF" w:rsidTr="00594642">
        <w:trPr>
          <w:trHeight w:val="300"/>
        </w:trPr>
        <w:tc>
          <w:tcPr>
            <w:tcW w:w="959" w:type="dxa"/>
            <w:shd w:val="clear" w:color="auto" w:fill="auto"/>
            <w:vAlign w:val="center"/>
          </w:tcPr>
          <w:p w:rsidR="00B23A46" w:rsidRPr="00B254CF" w:rsidRDefault="00B23A46" w:rsidP="00B23A46">
            <w:pPr>
              <w:rPr>
                <w:rFonts w:cs="Arial"/>
                <w:bCs w:val="0"/>
                <w:sz w:val="20"/>
                <w:szCs w:val="20"/>
              </w:rPr>
            </w:pPr>
            <w:r w:rsidRPr="00B254CF">
              <w:rPr>
                <w:rFonts w:cs="Arial"/>
                <w:bCs w:val="0"/>
                <w:sz w:val="22"/>
                <w:szCs w:val="20"/>
              </w:rPr>
              <w:t>Kód:</w:t>
            </w:r>
          </w:p>
        </w:tc>
        <w:tc>
          <w:tcPr>
            <w:tcW w:w="8477" w:type="dxa"/>
            <w:gridSpan w:val="2"/>
            <w:shd w:val="clear" w:color="auto" w:fill="auto"/>
            <w:vAlign w:val="center"/>
          </w:tcPr>
          <w:p w:rsidR="00B23A46" w:rsidRPr="00B254CF" w:rsidRDefault="008544BA" w:rsidP="006967E2">
            <w:pPr>
              <w:rPr>
                <w:rFonts w:cs="Arial"/>
                <w:bCs w:val="0"/>
                <w:sz w:val="20"/>
                <w:szCs w:val="20"/>
              </w:rPr>
            </w:pPr>
            <w:r w:rsidRPr="00B254CF">
              <w:rPr>
                <w:rFonts w:cs="Arial"/>
                <w:bCs w:val="0"/>
                <w:sz w:val="22"/>
                <w:szCs w:val="20"/>
              </w:rPr>
              <w:t>0308</w:t>
            </w:r>
            <w:r w:rsidR="006967E2" w:rsidRPr="00B254CF">
              <w:rPr>
                <w:rFonts w:cs="Arial"/>
                <w:bCs w:val="0"/>
                <w:sz w:val="22"/>
                <w:szCs w:val="20"/>
              </w:rPr>
              <w:t>20</w:t>
            </w:r>
          </w:p>
        </w:tc>
      </w:tr>
      <w:tr w:rsidR="00B23A46" w:rsidRPr="00B254CF" w:rsidTr="00594642">
        <w:trPr>
          <w:trHeight w:val="300"/>
        </w:trPr>
        <w:tc>
          <w:tcPr>
            <w:tcW w:w="959" w:type="dxa"/>
            <w:shd w:val="clear" w:color="auto" w:fill="auto"/>
            <w:vAlign w:val="center"/>
          </w:tcPr>
          <w:p w:rsidR="00B23A46" w:rsidRPr="00B254CF" w:rsidRDefault="00B23A46" w:rsidP="00B23A46">
            <w:pPr>
              <w:rPr>
                <w:rFonts w:cs="Arial"/>
                <w:bCs w:val="0"/>
                <w:sz w:val="20"/>
                <w:szCs w:val="20"/>
              </w:rPr>
            </w:pPr>
            <w:r w:rsidRPr="00B254CF">
              <w:rPr>
                <w:rFonts w:cs="Arial"/>
                <w:bCs w:val="0"/>
                <w:sz w:val="22"/>
                <w:szCs w:val="20"/>
              </w:rPr>
              <w:t>Okruh:</w:t>
            </w:r>
          </w:p>
        </w:tc>
        <w:tc>
          <w:tcPr>
            <w:tcW w:w="8477" w:type="dxa"/>
            <w:gridSpan w:val="2"/>
            <w:shd w:val="clear" w:color="auto" w:fill="auto"/>
            <w:vAlign w:val="center"/>
          </w:tcPr>
          <w:p w:rsidR="00B23A46" w:rsidRPr="00B254CF" w:rsidRDefault="00B23A46" w:rsidP="00B23A46">
            <w:pPr>
              <w:rPr>
                <w:rFonts w:cs="Arial"/>
                <w:bCs w:val="0"/>
                <w:sz w:val="20"/>
                <w:szCs w:val="20"/>
              </w:rPr>
            </w:pPr>
            <w:r w:rsidRPr="00B254CF">
              <w:rPr>
                <w:rFonts w:cs="Arial"/>
                <w:bCs w:val="0"/>
                <w:sz w:val="22"/>
                <w:szCs w:val="20"/>
              </w:rPr>
              <w:t>Ceny</w:t>
            </w:r>
          </w:p>
        </w:tc>
      </w:tr>
      <w:tr w:rsidR="00B23A46" w:rsidRPr="00B254CF" w:rsidTr="00594642">
        <w:trPr>
          <w:trHeight w:val="300"/>
        </w:trPr>
        <w:tc>
          <w:tcPr>
            <w:tcW w:w="959" w:type="dxa"/>
            <w:shd w:val="clear" w:color="auto" w:fill="auto"/>
            <w:vAlign w:val="center"/>
          </w:tcPr>
          <w:p w:rsidR="00B23A46" w:rsidRPr="00B254CF" w:rsidRDefault="00B23A46" w:rsidP="00B23A46">
            <w:pPr>
              <w:rPr>
                <w:rFonts w:cs="Arial"/>
                <w:bCs w:val="0"/>
                <w:sz w:val="20"/>
                <w:szCs w:val="20"/>
              </w:rPr>
            </w:pPr>
            <w:r w:rsidRPr="00B254CF">
              <w:rPr>
                <w:rFonts w:cs="Arial"/>
                <w:bCs w:val="0"/>
                <w:sz w:val="22"/>
                <w:szCs w:val="20"/>
              </w:rPr>
              <w:t>Dátum:</w:t>
            </w:r>
          </w:p>
        </w:tc>
        <w:tc>
          <w:tcPr>
            <w:tcW w:w="8477" w:type="dxa"/>
            <w:gridSpan w:val="2"/>
            <w:shd w:val="clear" w:color="auto" w:fill="auto"/>
            <w:vAlign w:val="center"/>
          </w:tcPr>
          <w:p w:rsidR="00B23A46" w:rsidRPr="00B254CF" w:rsidRDefault="00066626" w:rsidP="006967E2">
            <w:pPr>
              <w:rPr>
                <w:rFonts w:cs="Arial"/>
                <w:bCs w:val="0"/>
                <w:sz w:val="20"/>
                <w:szCs w:val="20"/>
              </w:rPr>
            </w:pPr>
            <w:r>
              <w:rPr>
                <w:rFonts w:cs="Arial"/>
                <w:bCs w:val="0"/>
                <w:sz w:val="22"/>
                <w:szCs w:val="20"/>
              </w:rPr>
              <w:t>JANUÁR 2021</w:t>
            </w:r>
          </w:p>
        </w:tc>
      </w:tr>
      <w:tr w:rsidR="00B23A46" w:rsidRPr="00B254CF" w:rsidTr="00594642">
        <w:trPr>
          <w:trHeight w:val="10169"/>
        </w:trPr>
        <w:tc>
          <w:tcPr>
            <w:tcW w:w="9436" w:type="dxa"/>
            <w:gridSpan w:val="3"/>
            <w:shd w:val="clear" w:color="auto" w:fill="auto"/>
          </w:tcPr>
          <w:p w:rsidR="00B23A46" w:rsidRPr="00B254CF" w:rsidRDefault="00B23A46" w:rsidP="00B23A46">
            <w:pPr>
              <w:ind w:right="431"/>
              <w:rPr>
                <w:rFonts w:cs="Arial"/>
                <w:bCs w:val="0"/>
                <w:color w:val="555655"/>
                <w:sz w:val="60"/>
                <w:szCs w:val="60"/>
              </w:rPr>
            </w:pPr>
          </w:p>
          <w:p w:rsidR="00B23A46" w:rsidRPr="00B254CF" w:rsidRDefault="00B23A46" w:rsidP="00B23A46">
            <w:pPr>
              <w:ind w:right="431"/>
              <w:rPr>
                <w:rFonts w:cs="Arial"/>
                <w:bCs w:val="0"/>
                <w:color w:val="555655"/>
                <w:sz w:val="60"/>
                <w:szCs w:val="60"/>
              </w:rPr>
            </w:pPr>
          </w:p>
          <w:p w:rsidR="00B23A46" w:rsidRPr="00B254CF" w:rsidRDefault="00B23A46" w:rsidP="00B23A46">
            <w:pPr>
              <w:ind w:right="431"/>
              <w:rPr>
                <w:rFonts w:cs="Arial"/>
                <w:bCs w:val="0"/>
                <w:color w:val="555655"/>
                <w:sz w:val="60"/>
                <w:szCs w:val="60"/>
              </w:rPr>
            </w:pPr>
          </w:p>
          <w:p w:rsidR="00B23A46" w:rsidRPr="00B254CF" w:rsidRDefault="00B23A46" w:rsidP="00B23A46">
            <w:pPr>
              <w:ind w:right="431"/>
              <w:rPr>
                <w:rFonts w:cs="Arial"/>
                <w:bCs w:val="0"/>
                <w:color w:val="555655"/>
                <w:sz w:val="64"/>
                <w:szCs w:val="64"/>
              </w:rPr>
            </w:pPr>
            <w:r w:rsidRPr="00B254CF">
              <w:rPr>
                <w:rFonts w:cs="Arial"/>
                <w:bCs w:val="0"/>
                <w:color w:val="555655"/>
                <w:sz w:val="64"/>
                <w:szCs w:val="64"/>
              </w:rPr>
              <w:t>Indexy cien poľnohospodárskych</w:t>
            </w:r>
          </w:p>
          <w:p w:rsidR="00B23A46" w:rsidRPr="00B254CF" w:rsidRDefault="00B23A46" w:rsidP="00B23A46">
            <w:pPr>
              <w:ind w:right="431"/>
              <w:rPr>
                <w:rFonts w:cs="Arial"/>
                <w:bCs w:val="0"/>
                <w:color w:val="555655"/>
                <w:sz w:val="64"/>
                <w:szCs w:val="64"/>
              </w:rPr>
            </w:pPr>
            <w:r w:rsidRPr="00B254CF">
              <w:rPr>
                <w:rFonts w:cs="Arial"/>
                <w:bCs w:val="0"/>
                <w:color w:val="555655"/>
                <w:sz w:val="64"/>
                <w:szCs w:val="64"/>
              </w:rPr>
              <w:t>výrobkov v SR</w:t>
            </w:r>
          </w:p>
          <w:p w:rsidR="00B23A46" w:rsidRPr="00B254CF" w:rsidRDefault="00B23A46" w:rsidP="00B23A46">
            <w:pPr>
              <w:ind w:right="431"/>
              <w:rPr>
                <w:rFonts w:cs="Arial"/>
                <w:bCs w:val="0"/>
                <w:color w:val="555655"/>
                <w:sz w:val="64"/>
                <w:szCs w:val="64"/>
              </w:rPr>
            </w:pPr>
          </w:p>
          <w:p w:rsidR="0095465E" w:rsidRPr="00B254CF" w:rsidRDefault="0095465E" w:rsidP="0095465E">
            <w:pPr>
              <w:tabs>
                <w:tab w:val="left" w:pos="1701"/>
              </w:tabs>
              <w:ind w:right="431"/>
              <w:rPr>
                <w:rFonts w:cs="Arial"/>
                <w:bCs w:val="0"/>
                <w:color w:val="888888"/>
                <w:sz w:val="46"/>
                <w:szCs w:val="46"/>
              </w:rPr>
            </w:pPr>
            <w:proofErr w:type="spellStart"/>
            <w:r w:rsidRPr="00B254CF">
              <w:rPr>
                <w:rFonts w:cs="Arial"/>
                <w:bCs w:val="0"/>
                <w:color w:val="888888"/>
                <w:sz w:val="46"/>
                <w:szCs w:val="46"/>
              </w:rPr>
              <w:t>Producer</w:t>
            </w:r>
            <w:proofErr w:type="spellEnd"/>
            <w:r w:rsidRPr="00B254CF">
              <w:rPr>
                <w:rFonts w:cs="Arial"/>
                <w:bCs w:val="0"/>
                <w:color w:val="888888"/>
                <w:sz w:val="46"/>
                <w:szCs w:val="46"/>
              </w:rPr>
              <w:t xml:space="preserve"> </w:t>
            </w:r>
            <w:proofErr w:type="spellStart"/>
            <w:r w:rsidR="0016160D" w:rsidRPr="00B254CF">
              <w:rPr>
                <w:rFonts w:cs="Arial"/>
                <w:bCs w:val="0"/>
                <w:color w:val="888888"/>
                <w:sz w:val="46"/>
                <w:szCs w:val="46"/>
              </w:rPr>
              <w:t>p</w:t>
            </w:r>
            <w:r w:rsidRPr="00B254CF">
              <w:rPr>
                <w:rFonts w:cs="Arial"/>
                <w:bCs w:val="0"/>
                <w:color w:val="888888"/>
                <w:sz w:val="46"/>
                <w:szCs w:val="46"/>
              </w:rPr>
              <w:t>rice</w:t>
            </w:r>
            <w:proofErr w:type="spellEnd"/>
            <w:r w:rsidRPr="00B254CF">
              <w:rPr>
                <w:rFonts w:cs="Arial"/>
                <w:bCs w:val="0"/>
                <w:color w:val="888888"/>
                <w:sz w:val="46"/>
                <w:szCs w:val="46"/>
              </w:rPr>
              <w:t xml:space="preserve"> </w:t>
            </w:r>
            <w:proofErr w:type="spellStart"/>
            <w:r w:rsidR="0016160D" w:rsidRPr="00B254CF">
              <w:rPr>
                <w:rFonts w:cs="Arial"/>
                <w:bCs w:val="0"/>
                <w:color w:val="888888"/>
                <w:sz w:val="46"/>
                <w:szCs w:val="46"/>
              </w:rPr>
              <w:t>i</w:t>
            </w:r>
            <w:r w:rsidRPr="00B254CF">
              <w:rPr>
                <w:rFonts w:cs="Arial"/>
                <w:bCs w:val="0"/>
                <w:color w:val="888888"/>
                <w:sz w:val="46"/>
                <w:szCs w:val="46"/>
              </w:rPr>
              <w:t>ndices</w:t>
            </w:r>
            <w:proofErr w:type="spellEnd"/>
          </w:p>
          <w:p w:rsidR="0095465E" w:rsidRPr="00B254CF" w:rsidRDefault="0095465E" w:rsidP="0095465E">
            <w:pPr>
              <w:tabs>
                <w:tab w:val="left" w:pos="1701"/>
              </w:tabs>
              <w:ind w:right="431"/>
              <w:rPr>
                <w:rFonts w:cs="Arial"/>
                <w:bCs w:val="0"/>
                <w:color w:val="888888"/>
                <w:sz w:val="46"/>
                <w:szCs w:val="46"/>
              </w:rPr>
            </w:pPr>
            <w:r w:rsidRPr="00B254CF">
              <w:rPr>
                <w:rFonts w:cs="Arial"/>
                <w:bCs w:val="0"/>
                <w:color w:val="888888"/>
                <w:sz w:val="46"/>
                <w:szCs w:val="46"/>
              </w:rPr>
              <w:t xml:space="preserve">of </w:t>
            </w:r>
            <w:proofErr w:type="spellStart"/>
            <w:r w:rsidR="00781375" w:rsidRPr="00B254CF">
              <w:rPr>
                <w:rFonts w:cs="Arial"/>
                <w:bCs w:val="0"/>
                <w:color w:val="888888"/>
                <w:sz w:val="46"/>
                <w:szCs w:val="46"/>
              </w:rPr>
              <w:t>a</w:t>
            </w:r>
            <w:r w:rsidRPr="00B254CF">
              <w:rPr>
                <w:rFonts w:cs="Arial"/>
                <w:bCs w:val="0"/>
                <w:color w:val="888888"/>
                <w:sz w:val="46"/>
                <w:szCs w:val="46"/>
              </w:rPr>
              <w:t>gricultural</w:t>
            </w:r>
            <w:proofErr w:type="spellEnd"/>
            <w:r w:rsidRPr="00B254CF">
              <w:rPr>
                <w:rFonts w:cs="Arial"/>
                <w:bCs w:val="0"/>
                <w:color w:val="888888"/>
                <w:sz w:val="46"/>
                <w:szCs w:val="46"/>
              </w:rPr>
              <w:t xml:space="preserve"> </w:t>
            </w:r>
            <w:proofErr w:type="spellStart"/>
            <w:r w:rsidR="00781375" w:rsidRPr="00B254CF">
              <w:rPr>
                <w:rFonts w:cs="Arial"/>
                <w:bCs w:val="0"/>
                <w:color w:val="888888"/>
                <w:sz w:val="46"/>
                <w:szCs w:val="46"/>
              </w:rPr>
              <w:t>p</w:t>
            </w:r>
            <w:r w:rsidRPr="00B254CF">
              <w:rPr>
                <w:rFonts w:cs="Arial"/>
                <w:bCs w:val="0"/>
                <w:color w:val="888888"/>
                <w:sz w:val="46"/>
                <w:szCs w:val="46"/>
              </w:rPr>
              <w:t>roducts</w:t>
            </w:r>
            <w:proofErr w:type="spellEnd"/>
            <w:r w:rsidRPr="00B254CF">
              <w:rPr>
                <w:rFonts w:cs="Arial"/>
                <w:bCs w:val="0"/>
                <w:color w:val="888888"/>
                <w:sz w:val="46"/>
                <w:szCs w:val="46"/>
              </w:rPr>
              <w:t xml:space="preserve"> </w:t>
            </w:r>
          </w:p>
          <w:p w:rsidR="00B23A46" w:rsidRPr="00B254CF" w:rsidRDefault="0095465E" w:rsidP="0095465E">
            <w:pPr>
              <w:tabs>
                <w:tab w:val="left" w:pos="1701"/>
              </w:tabs>
              <w:ind w:right="431"/>
              <w:rPr>
                <w:rFonts w:cs="Arial"/>
                <w:bCs w:val="0"/>
                <w:sz w:val="92"/>
                <w:szCs w:val="20"/>
              </w:rPr>
            </w:pPr>
            <w:r w:rsidRPr="00B254CF">
              <w:rPr>
                <w:rFonts w:cs="Arial"/>
                <w:bCs w:val="0"/>
                <w:color w:val="888888"/>
                <w:sz w:val="46"/>
                <w:szCs w:val="46"/>
              </w:rPr>
              <w:t xml:space="preserve">in </w:t>
            </w:r>
            <w:proofErr w:type="spellStart"/>
            <w:r w:rsidRPr="00B254CF">
              <w:rPr>
                <w:rFonts w:cs="Arial"/>
                <w:bCs w:val="0"/>
                <w:color w:val="888888"/>
                <w:sz w:val="46"/>
                <w:szCs w:val="46"/>
              </w:rPr>
              <w:t>the</w:t>
            </w:r>
            <w:proofErr w:type="spellEnd"/>
            <w:r w:rsidRPr="00B254CF">
              <w:rPr>
                <w:rFonts w:cs="Arial"/>
                <w:bCs w:val="0"/>
                <w:color w:val="888888"/>
                <w:sz w:val="46"/>
                <w:szCs w:val="46"/>
              </w:rPr>
              <w:t xml:space="preserve"> Slovak </w:t>
            </w:r>
            <w:proofErr w:type="spellStart"/>
            <w:r w:rsidRPr="00B254CF">
              <w:rPr>
                <w:rFonts w:cs="Arial"/>
                <w:bCs w:val="0"/>
                <w:color w:val="888888"/>
                <w:sz w:val="46"/>
                <w:szCs w:val="46"/>
              </w:rPr>
              <w:t>Republic</w:t>
            </w:r>
            <w:proofErr w:type="spellEnd"/>
            <w:r w:rsidRPr="00B254CF">
              <w:rPr>
                <w:rFonts w:cs="Arial"/>
                <w:bCs w:val="0"/>
                <w:sz w:val="92"/>
                <w:szCs w:val="20"/>
              </w:rPr>
              <w:t xml:space="preserve"> </w:t>
            </w:r>
          </w:p>
        </w:tc>
      </w:tr>
      <w:tr w:rsidR="00B23A46" w:rsidRPr="00B254CF" w:rsidTr="00594642">
        <w:trPr>
          <w:trHeight w:val="300"/>
        </w:trPr>
        <w:tc>
          <w:tcPr>
            <w:tcW w:w="6714" w:type="dxa"/>
            <w:gridSpan w:val="2"/>
            <w:shd w:val="clear" w:color="auto" w:fill="auto"/>
            <w:vAlign w:val="center"/>
          </w:tcPr>
          <w:p w:rsidR="00B23A46" w:rsidRPr="00B254CF" w:rsidRDefault="00B23A46" w:rsidP="00B23A46">
            <w:pPr>
              <w:rPr>
                <w:rFonts w:cs="Arial"/>
                <w:bCs w:val="0"/>
                <w:sz w:val="22"/>
                <w:szCs w:val="20"/>
              </w:rPr>
            </w:pPr>
            <w:r w:rsidRPr="00B254CF">
              <w:rPr>
                <w:rFonts w:cs="Arial"/>
                <w:bCs w:val="0"/>
                <w:sz w:val="22"/>
                <w:szCs w:val="20"/>
              </w:rPr>
              <w:t>Sekcia podnikových štatistík</w:t>
            </w:r>
          </w:p>
        </w:tc>
        <w:tc>
          <w:tcPr>
            <w:tcW w:w="2722" w:type="dxa"/>
            <w:vMerge w:val="restart"/>
            <w:shd w:val="clear" w:color="auto" w:fill="auto"/>
            <w:vAlign w:val="bottom"/>
          </w:tcPr>
          <w:p w:rsidR="00B23A46" w:rsidRPr="00B254CF" w:rsidRDefault="008544BA" w:rsidP="00B23A46">
            <w:pPr>
              <w:spacing w:line="192" w:lineRule="auto"/>
              <w:jc w:val="right"/>
              <w:rPr>
                <w:rFonts w:cs="Arial"/>
                <w:bCs w:val="0"/>
                <w:color w:val="555655"/>
                <w:sz w:val="64"/>
                <w:szCs w:val="64"/>
              </w:rPr>
            </w:pPr>
            <w:r w:rsidRPr="00B254CF">
              <w:rPr>
                <w:rFonts w:cs="Arial"/>
                <w:bCs w:val="0"/>
                <w:color w:val="555655"/>
                <w:sz w:val="64"/>
                <w:szCs w:val="64"/>
              </w:rPr>
              <w:t xml:space="preserve"> </w:t>
            </w:r>
            <w:r w:rsidR="00066626">
              <w:rPr>
                <w:rFonts w:cs="Arial"/>
                <w:bCs w:val="0"/>
                <w:color w:val="555655"/>
                <w:sz w:val="64"/>
                <w:szCs w:val="64"/>
              </w:rPr>
              <w:t>12</w:t>
            </w:r>
          </w:p>
          <w:p w:rsidR="00B23A46" w:rsidRPr="00B254CF" w:rsidRDefault="00B23A46" w:rsidP="006967E2">
            <w:pPr>
              <w:spacing w:line="192" w:lineRule="auto"/>
              <w:jc w:val="right"/>
              <w:rPr>
                <w:rFonts w:cs="Arial"/>
                <w:bCs w:val="0"/>
                <w:sz w:val="20"/>
                <w:szCs w:val="20"/>
              </w:rPr>
            </w:pPr>
            <w:r w:rsidRPr="00B254CF">
              <w:rPr>
                <w:rFonts w:cs="Arial"/>
                <w:bCs w:val="0"/>
                <w:color w:val="555655"/>
                <w:sz w:val="64"/>
                <w:szCs w:val="64"/>
              </w:rPr>
              <w:t>20</w:t>
            </w:r>
            <w:r w:rsidR="006967E2" w:rsidRPr="00B254CF">
              <w:rPr>
                <w:rFonts w:cs="Arial"/>
                <w:bCs w:val="0"/>
                <w:color w:val="555655"/>
                <w:sz w:val="64"/>
                <w:szCs w:val="64"/>
              </w:rPr>
              <w:t>20</w:t>
            </w:r>
          </w:p>
        </w:tc>
      </w:tr>
      <w:tr w:rsidR="00B23A46" w:rsidRPr="00B254CF" w:rsidTr="00594642">
        <w:trPr>
          <w:trHeight w:val="300"/>
        </w:trPr>
        <w:tc>
          <w:tcPr>
            <w:tcW w:w="6714" w:type="dxa"/>
            <w:gridSpan w:val="2"/>
            <w:shd w:val="clear" w:color="auto" w:fill="auto"/>
            <w:vAlign w:val="center"/>
          </w:tcPr>
          <w:p w:rsidR="00B23A46" w:rsidRPr="00B254CF" w:rsidRDefault="00B23A46" w:rsidP="00B23A46">
            <w:pPr>
              <w:rPr>
                <w:rFonts w:cs="Arial"/>
                <w:bCs w:val="0"/>
                <w:sz w:val="22"/>
                <w:szCs w:val="20"/>
              </w:rPr>
            </w:pPr>
            <w:r w:rsidRPr="00B254CF">
              <w:rPr>
                <w:rFonts w:cs="Arial"/>
                <w:bCs w:val="0"/>
                <w:sz w:val="22"/>
                <w:szCs w:val="20"/>
              </w:rPr>
              <w:t>Generálny riaditeľ sekcie: Libuša Kolesárová</w:t>
            </w:r>
          </w:p>
        </w:tc>
        <w:tc>
          <w:tcPr>
            <w:tcW w:w="2722" w:type="dxa"/>
            <w:vMerge/>
            <w:shd w:val="clear" w:color="auto" w:fill="auto"/>
          </w:tcPr>
          <w:p w:rsidR="00B23A46" w:rsidRPr="00B254CF" w:rsidRDefault="00B23A46" w:rsidP="00B23A46">
            <w:pPr>
              <w:rPr>
                <w:rFonts w:cs="Arial"/>
                <w:bCs w:val="0"/>
                <w:sz w:val="20"/>
                <w:szCs w:val="20"/>
              </w:rPr>
            </w:pPr>
          </w:p>
        </w:tc>
      </w:tr>
      <w:tr w:rsidR="00B23A46" w:rsidRPr="00B254CF" w:rsidTr="00594642">
        <w:trPr>
          <w:trHeight w:val="300"/>
        </w:trPr>
        <w:tc>
          <w:tcPr>
            <w:tcW w:w="6714" w:type="dxa"/>
            <w:gridSpan w:val="2"/>
            <w:shd w:val="clear" w:color="auto" w:fill="auto"/>
            <w:vAlign w:val="center"/>
          </w:tcPr>
          <w:p w:rsidR="00B23A46" w:rsidRPr="00B254CF" w:rsidRDefault="00B23A46" w:rsidP="00971469">
            <w:pPr>
              <w:rPr>
                <w:rFonts w:cs="Arial"/>
                <w:bCs w:val="0"/>
                <w:sz w:val="22"/>
                <w:szCs w:val="20"/>
              </w:rPr>
            </w:pPr>
            <w:r w:rsidRPr="00B254CF">
              <w:rPr>
                <w:rFonts w:cs="Arial"/>
                <w:bCs w:val="0"/>
                <w:sz w:val="22"/>
                <w:szCs w:val="20"/>
              </w:rPr>
              <w:t xml:space="preserve">Odbor </w:t>
            </w:r>
            <w:r w:rsidR="00971469" w:rsidRPr="00B254CF">
              <w:rPr>
                <w:rFonts w:cs="Arial"/>
                <w:bCs w:val="0"/>
                <w:sz w:val="22"/>
                <w:szCs w:val="20"/>
              </w:rPr>
              <w:t>cenových štatistík</w:t>
            </w:r>
          </w:p>
        </w:tc>
        <w:tc>
          <w:tcPr>
            <w:tcW w:w="2722" w:type="dxa"/>
            <w:vMerge/>
            <w:shd w:val="clear" w:color="auto" w:fill="auto"/>
          </w:tcPr>
          <w:p w:rsidR="00B23A46" w:rsidRPr="00B254CF" w:rsidRDefault="00B23A46" w:rsidP="00B23A46">
            <w:pPr>
              <w:rPr>
                <w:rFonts w:cs="Arial"/>
                <w:bCs w:val="0"/>
                <w:sz w:val="20"/>
                <w:szCs w:val="20"/>
              </w:rPr>
            </w:pPr>
          </w:p>
        </w:tc>
      </w:tr>
      <w:tr w:rsidR="00B23A46" w:rsidRPr="00B254CF" w:rsidTr="00594642">
        <w:trPr>
          <w:trHeight w:val="300"/>
        </w:trPr>
        <w:tc>
          <w:tcPr>
            <w:tcW w:w="6714" w:type="dxa"/>
            <w:gridSpan w:val="2"/>
            <w:shd w:val="clear" w:color="auto" w:fill="auto"/>
            <w:vAlign w:val="center"/>
          </w:tcPr>
          <w:p w:rsidR="00B23A46" w:rsidRPr="00B254CF" w:rsidRDefault="00B23A46" w:rsidP="00B23A46">
            <w:pPr>
              <w:rPr>
                <w:rFonts w:cs="Arial"/>
                <w:bCs w:val="0"/>
                <w:sz w:val="22"/>
                <w:szCs w:val="20"/>
              </w:rPr>
            </w:pPr>
            <w:r w:rsidRPr="00B254CF">
              <w:rPr>
                <w:rFonts w:cs="Arial"/>
                <w:bCs w:val="0"/>
                <w:sz w:val="22"/>
                <w:szCs w:val="20"/>
              </w:rPr>
              <w:t xml:space="preserve">Kontaktná osoba: </w:t>
            </w:r>
            <w:r w:rsidR="00971469" w:rsidRPr="00B254CF">
              <w:rPr>
                <w:rFonts w:cs="Arial"/>
                <w:bCs w:val="0"/>
                <w:sz w:val="22"/>
                <w:szCs w:val="20"/>
              </w:rPr>
              <w:t xml:space="preserve">Štefan Adamec  tel.: 02/50236525   </w:t>
            </w:r>
          </w:p>
        </w:tc>
        <w:tc>
          <w:tcPr>
            <w:tcW w:w="2722" w:type="dxa"/>
            <w:vMerge/>
            <w:shd w:val="clear" w:color="auto" w:fill="auto"/>
          </w:tcPr>
          <w:p w:rsidR="00B23A46" w:rsidRPr="00B254CF" w:rsidRDefault="00B23A46" w:rsidP="00B23A46">
            <w:pPr>
              <w:rPr>
                <w:rFonts w:cs="Arial"/>
                <w:bCs w:val="0"/>
                <w:sz w:val="20"/>
                <w:szCs w:val="20"/>
              </w:rPr>
            </w:pPr>
          </w:p>
        </w:tc>
      </w:tr>
    </w:tbl>
    <w:p w:rsidR="00B23A46" w:rsidRPr="00B254CF" w:rsidRDefault="00B23A46" w:rsidP="00B23A46">
      <w:pPr>
        <w:spacing w:after="120" w:line="276" w:lineRule="auto"/>
        <w:rPr>
          <w:rFonts w:cs="Arial"/>
          <w:b/>
          <w:color w:val="555655"/>
          <w:sz w:val="22"/>
          <w:szCs w:val="22"/>
        </w:rPr>
      </w:pPr>
      <w:r w:rsidRPr="00B254CF">
        <w:rPr>
          <w:rFonts w:ascii="Compacta Bd AT" w:hAnsi="Compacta Bd AT"/>
          <w:b/>
          <w:sz w:val="56"/>
        </w:rPr>
        <w:br w:type="page"/>
      </w:r>
      <w:r w:rsidRPr="00B254CF">
        <w:rPr>
          <w:rFonts w:cs="Arial"/>
          <w:b/>
          <w:bCs w:val="0"/>
          <w:noProof/>
          <w:color w:val="555655"/>
          <w:sz w:val="22"/>
          <w:szCs w:val="22"/>
          <w:lang w:eastAsia="sk-SK"/>
        </w:rPr>
        <w:lastRenderedPageBreak/>
        <mc:AlternateContent>
          <mc:Choice Requires="wps">
            <w:drawing>
              <wp:anchor distT="45720" distB="45720" distL="114300" distR="114300" simplePos="0" relativeHeight="251659264" behindDoc="0" locked="0" layoutInCell="1" allowOverlap="1" wp14:anchorId="1C58991A" wp14:editId="0DF62AED">
                <wp:simplePos x="0" y="0"/>
                <wp:positionH relativeFrom="column">
                  <wp:posOffset>3289935</wp:posOffset>
                </wp:positionH>
                <wp:positionV relativeFrom="paragraph">
                  <wp:posOffset>-9290050</wp:posOffset>
                </wp:positionV>
                <wp:extent cx="2421890" cy="236220"/>
                <wp:effectExtent l="0" t="0" r="0" b="0"/>
                <wp:wrapNone/>
                <wp:docPr id="2"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1890" cy="236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3A46" w:rsidRDefault="00B23A46" w:rsidP="00B23A46">
                            <w:r w:rsidRPr="00E67C8D">
                              <w:rPr>
                                <w:rFonts w:cs="Arial"/>
                              </w:rPr>
                              <w:t>Vzor vstupného listu na dvoch stranách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C58991A" id="_x0000_t202" coordsize="21600,21600" o:spt="202" path="m,l,21600r21600,l21600,xe">
                <v:stroke joinstyle="miter"/>
                <v:path gradientshapeok="t" o:connecttype="rect"/>
              </v:shapetype>
              <v:shape id="Blok textu 2" o:spid="_x0000_s1026" type="#_x0000_t202" style="position:absolute;margin-left:259.05pt;margin-top:-731.5pt;width:190.7pt;height:18.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GcHtwIAALsFAAAOAAAAZHJzL2Uyb0RvYy54bWysVMlu2zAQvRfoPxC8K1pC25IQOYgtqyiQ&#10;LkDaD6AlyiIikSpJW06D/nuHlLckl6KtDgLJGb5Z3uPc3O67Fu2Y0lyKDIdXAUZMlLLiYpPh798K&#10;L8ZIGyoq2krBMvzENL6dv393M/Qpi2Qj24opBCBCp0Of4caYPvV9XTaso/pK9kyAsZaqowa2auNX&#10;ig6A3rV+FARTf5Cq6pUsmdZwmo9GPHf4dc1K86WuNTOozTDkZtxfuf/a/v35DU03ivYNLw9p0L/I&#10;oqNcQNATVE4NRVvF30B1vFRSy9pclbLzZV3zkrkaoJoweFXNQ0N75mqB5uj+1Cb9/2DLz7uvCvEq&#10;wxFGgnZA0aKVj8iwvdmiyPZn6HUKbg89OJr9Qu6BZ1er7u9l+aiRkMuGig27U0oODaMV5Bfam/7F&#10;1RFHW5D18ElWEIhujXRA+1p1tnnQDgTowNPTiRvIA5VwGJEojBMwlWCLrqdR5MjzaXq83SttPjDZ&#10;IbvIsALuHTrd3Wtjs6Hp0cUGE7Lgbev4b8WLA3AcTyA2XLU2m4Wj8zkJklW8iolHounKI0Gee3fF&#10;knjTIpxN8ut8uczDXzZuSNKGVxUTNsxRWiH5M+oOIh9FcRKXli2vLJxNSavNetkqtKMg7cJ9rudg&#10;Obv5L9NwTYBaXpUURiRYRIlXTOOZRwoy8ZJZEHtBmCySaUASkhcvS7rngv17SWjIcDKJJqOYzkm/&#10;qi1w39vaaNpxA8Oj5V2G45MTTa0EV6Jy1BrK23F90Qqb/rkVQPeRaCdYq9FRrWa/3gOKVfFaVk8g&#10;XSVBWSBCmHiwaKT6idEA0yPD+seWKoZR+1GA/JOQEDtu3IZMZiBWpC4t60sLFSVAZdhgNC6XZhxR&#10;217xTQORjg/uDp5MwZ2az1kdHhpMCFfUYZrZEXS5d17nmTv/DQAA//8DAFBLAwQUAAYACAAAACEA&#10;KN973+MAAAAPAQAADwAAAGRycy9kb3ducmV2LnhtbEyPTU+DQBCG7yb+h82YeGsXUCpFlqYxbT1W&#10;W9Lzlh2ByH6E3VL8945e9DgzT9553mI16Z6NOPjOGgHxPAKGpraqM42A6ridZcB8kEbJ3hoU8IUe&#10;VuXtTSFzZa/mHcdDaBiFGJ9LAW0ILufc1y1q6efWoaHbhx20DDQODVeDvFK47nkSRQuuZWfoQysd&#10;vrRYfx4uWoALbvf0Ouzf1pvtGFWnXZV0zUaI+7tp/Qws4BT+YPjRJ3UoyelsL0Z51gtI4ywmVMAs&#10;flw8UC1isuUyBXb+3SVpBrws+P8e5TcAAAD//wMAUEsBAi0AFAAGAAgAAAAhALaDOJL+AAAA4QEA&#10;ABMAAAAAAAAAAAAAAAAAAAAAAFtDb250ZW50X1R5cGVzXS54bWxQSwECLQAUAAYACAAAACEAOP0h&#10;/9YAAACUAQAACwAAAAAAAAAAAAAAAAAvAQAAX3JlbHMvLnJlbHNQSwECLQAUAAYACAAAACEAD+xn&#10;B7cCAAC7BQAADgAAAAAAAAAAAAAAAAAuAgAAZHJzL2Uyb0RvYy54bWxQSwECLQAUAAYACAAAACEA&#10;KN973+MAAAAPAQAADwAAAAAAAAAAAAAAAAARBQAAZHJzL2Rvd25yZXYueG1sUEsFBgAAAAAEAAQA&#10;8wAAACEGAAAAAA==&#10;" filled="f" stroked="f">
                <v:textbox style="mso-fit-shape-to-text:t">
                  <w:txbxContent>
                    <w:p w:rsidR="00B23A46" w:rsidRDefault="00B23A46" w:rsidP="00B23A46">
                      <w:r w:rsidRPr="00E67C8D">
                        <w:rPr>
                          <w:rFonts w:cs="Arial"/>
                        </w:rPr>
                        <w:t>Vzor vstupného listu na dvoch stranách</w:t>
                      </w:r>
                    </w:p>
                  </w:txbxContent>
                </v:textbox>
              </v:shape>
            </w:pict>
          </mc:Fallback>
        </mc:AlternateContent>
      </w:r>
      <w:r w:rsidRPr="00B254CF">
        <w:rPr>
          <w:rFonts w:cs="Arial"/>
          <w:b/>
          <w:color w:val="555655"/>
          <w:sz w:val="22"/>
          <w:szCs w:val="22"/>
        </w:rPr>
        <w:t xml:space="preserve">ZVEREJŇOVANIE VYBRANÝCH ÚDAJOV ŠTATISTICKÉHO ÚRADU SR </w:t>
      </w:r>
    </w:p>
    <w:p w:rsidR="00B23A46" w:rsidRPr="00B254CF" w:rsidRDefault="00B23A46" w:rsidP="00971469">
      <w:pPr>
        <w:spacing w:line="276" w:lineRule="auto"/>
        <w:jc w:val="both"/>
        <w:rPr>
          <w:rFonts w:cs="Arial"/>
          <w:bCs w:val="0"/>
          <w:sz w:val="22"/>
          <w:szCs w:val="22"/>
        </w:rPr>
      </w:pPr>
      <w:r w:rsidRPr="00B254CF">
        <w:rPr>
          <w:rFonts w:cs="Arial"/>
          <w:bCs w:val="0"/>
          <w:sz w:val="22"/>
          <w:szCs w:val="22"/>
        </w:rPr>
        <w:t xml:space="preserve">Kalendár prvého zverejnenia vybraných údajov Štatistického úradu SR je dostupný na internetovom portáli </w:t>
      </w:r>
      <w:hyperlink r:id="rId6" w:history="1">
        <w:r w:rsidRPr="00B254CF">
          <w:rPr>
            <w:rFonts w:cs="Arial"/>
            <w:bCs w:val="0"/>
            <w:color w:val="1E4E9D"/>
            <w:sz w:val="22"/>
            <w:szCs w:val="22"/>
          </w:rPr>
          <w:t>www.statistics.sk</w:t>
        </w:r>
      </w:hyperlink>
      <w:r w:rsidRPr="00B254CF">
        <w:rPr>
          <w:rFonts w:cs="Arial"/>
          <w:bCs w:val="0"/>
          <w:color w:val="0070C0"/>
          <w:sz w:val="22"/>
          <w:szCs w:val="22"/>
        </w:rPr>
        <w:t>.</w:t>
      </w:r>
      <w:r w:rsidRPr="00B254CF">
        <w:rPr>
          <w:rFonts w:cs="Arial"/>
          <w:bCs w:val="0"/>
          <w:sz w:val="22"/>
          <w:szCs w:val="22"/>
        </w:rPr>
        <w:t xml:space="preserve"> Všetky upresnenia termínov za kategóriu </w:t>
      </w:r>
      <w:r w:rsidR="00971469" w:rsidRPr="00B254CF">
        <w:rPr>
          <w:rFonts w:cs="Arial"/>
          <w:bCs w:val="0"/>
          <w:sz w:val="22"/>
          <w:szCs w:val="22"/>
        </w:rPr>
        <w:t>Indexy cien poľnohospodárskych výrobkov v SR</w:t>
      </w:r>
      <w:r w:rsidRPr="00B254CF">
        <w:rPr>
          <w:rFonts w:cs="Arial"/>
          <w:bCs w:val="0"/>
          <w:sz w:val="22"/>
          <w:szCs w:val="22"/>
        </w:rPr>
        <w:t xml:space="preserve"> sú zverejnené na uvedenom internetovom portáli vopred.</w:t>
      </w:r>
    </w:p>
    <w:p w:rsidR="00B23A46" w:rsidRPr="00B254CF" w:rsidRDefault="00B23A46" w:rsidP="00B23A46">
      <w:pPr>
        <w:spacing w:line="276" w:lineRule="auto"/>
        <w:jc w:val="both"/>
        <w:rPr>
          <w:rFonts w:cs="Arial"/>
          <w:bCs w:val="0"/>
          <w:sz w:val="22"/>
          <w:szCs w:val="22"/>
        </w:rPr>
      </w:pPr>
    </w:p>
    <w:p w:rsidR="00B23A46" w:rsidRPr="00B254CF" w:rsidRDefault="00B23A46" w:rsidP="00B23A46">
      <w:pPr>
        <w:spacing w:after="120" w:line="276" w:lineRule="auto"/>
        <w:jc w:val="both"/>
        <w:rPr>
          <w:rFonts w:cs="Arial"/>
          <w:b/>
          <w:color w:val="555655"/>
          <w:sz w:val="22"/>
          <w:szCs w:val="22"/>
        </w:rPr>
      </w:pPr>
      <w:r w:rsidRPr="00B254CF">
        <w:rPr>
          <w:rFonts w:cs="Arial"/>
          <w:b/>
          <w:color w:val="555655"/>
          <w:sz w:val="22"/>
          <w:szCs w:val="22"/>
        </w:rPr>
        <w:t>RELEASE OF SELECTED DATA OF THE STATISTICAL OFFICE OF THE SR</w:t>
      </w:r>
    </w:p>
    <w:p w:rsidR="00B23A46" w:rsidRPr="00B254CF" w:rsidRDefault="00B23A46" w:rsidP="00971469">
      <w:pPr>
        <w:spacing w:line="276" w:lineRule="auto"/>
        <w:jc w:val="both"/>
        <w:rPr>
          <w:rFonts w:cs="Arial"/>
          <w:bCs w:val="0"/>
          <w:sz w:val="22"/>
          <w:szCs w:val="22"/>
        </w:rPr>
      </w:pPr>
      <w:proofErr w:type="spellStart"/>
      <w:r w:rsidRPr="00B254CF">
        <w:rPr>
          <w:rFonts w:cs="Arial"/>
          <w:bCs w:val="0"/>
          <w:color w:val="000000"/>
          <w:sz w:val="22"/>
          <w:szCs w:val="22"/>
        </w:rPr>
        <w:t>Calendar</w:t>
      </w:r>
      <w:proofErr w:type="spellEnd"/>
      <w:r w:rsidRPr="00B254CF">
        <w:rPr>
          <w:rFonts w:cs="Arial"/>
          <w:bCs w:val="0"/>
          <w:sz w:val="22"/>
          <w:szCs w:val="22"/>
        </w:rPr>
        <w:t xml:space="preserve"> of </w:t>
      </w:r>
      <w:proofErr w:type="spellStart"/>
      <w:r w:rsidRPr="00B254CF">
        <w:rPr>
          <w:rFonts w:cs="Arial"/>
          <w:bCs w:val="0"/>
          <w:sz w:val="22"/>
          <w:szCs w:val="22"/>
        </w:rPr>
        <w:t>the</w:t>
      </w:r>
      <w:proofErr w:type="spellEnd"/>
      <w:r w:rsidRPr="00B254CF">
        <w:rPr>
          <w:rFonts w:cs="Arial"/>
          <w:bCs w:val="0"/>
          <w:sz w:val="22"/>
          <w:szCs w:val="22"/>
        </w:rPr>
        <w:t xml:space="preserve"> </w:t>
      </w:r>
      <w:proofErr w:type="spellStart"/>
      <w:r w:rsidRPr="00B254CF">
        <w:rPr>
          <w:rFonts w:cs="Arial"/>
          <w:bCs w:val="0"/>
          <w:sz w:val="22"/>
          <w:szCs w:val="22"/>
        </w:rPr>
        <w:t>first</w:t>
      </w:r>
      <w:proofErr w:type="spellEnd"/>
      <w:r w:rsidRPr="00B254CF">
        <w:rPr>
          <w:rFonts w:cs="Arial"/>
          <w:bCs w:val="0"/>
          <w:sz w:val="22"/>
          <w:szCs w:val="22"/>
        </w:rPr>
        <w:t xml:space="preserve"> </w:t>
      </w:r>
      <w:proofErr w:type="spellStart"/>
      <w:r w:rsidRPr="00B254CF">
        <w:rPr>
          <w:rFonts w:cs="Arial"/>
          <w:bCs w:val="0"/>
          <w:sz w:val="22"/>
          <w:szCs w:val="22"/>
        </w:rPr>
        <w:t>release</w:t>
      </w:r>
      <w:proofErr w:type="spellEnd"/>
      <w:r w:rsidRPr="00B254CF">
        <w:rPr>
          <w:rFonts w:cs="Arial"/>
          <w:bCs w:val="0"/>
          <w:sz w:val="22"/>
          <w:szCs w:val="22"/>
        </w:rPr>
        <w:t xml:space="preserve"> of </w:t>
      </w:r>
      <w:proofErr w:type="spellStart"/>
      <w:r w:rsidRPr="00B254CF">
        <w:rPr>
          <w:rFonts w:cs="Arial"/>
          <w:bCs w:val="0"/>
          <w:sz w:val="22"/>
          <w:szCs w:val="22"/>
        </w:rPr>
        <w:t>selected</w:t>
      </w:r>
      <w:proofErr w:type="spellEnd"/>
      <w:r w:rsidRPr="00B254CF">
        <w:rPr>
          <w:rFonts w:cs="Arial"/>
          <w:bCs w:val="0"/>
          <w:sz w:val="22"/>
          <w:szCs w:val="22"/>
        </w:rPr>
        <w:t xml:space="preserve"> </w:t>
      </w:r>
      <w:proofErr w:type="spellStart"/>
      <w:r w:rsidRPr="00B254CF">
        <w:rPr>
          <w:rFonts w:cs="Arial"/>
          <w:bCs w:val="0"/>
          <w:sz w:val="22"/>
          <w:szCs w:val="22"/>
        </w:rPr>
        <w:t>data</w:t>
      </w:r>
      <w:proofErr w:type="spellEnd"/>
      <w:r w:rsidRPr="00B254CF">
        <w:rPr>
          <w:rFonts w:cs="Arial"/>
          <w:bCs w:val="0"/>
          <w:sz w:val="22"/>
          <w:szCs w:val="22"/>
        </w:rPr>
        <w:t xml:space="preserve"> of </w:t>
      </w:r>
      <w:proofErr w:type="spellStart"/>
      <w:r w:rsidRPr="00B254CF">
        <w:rPr>
          <w:rFonts w:cs="Arial"/>
          <w:bCs w:val="0"/>
          <w:sz w:val="22"/>
          <w:szCs w:val="22"/>
        </w:rPr>
        <w:t>the</w:t>
      </w:r>
      <w:proofErr w:type="spellEnd"/>
      <w:r w:rsidRPr="00B254CF">
        <w:rPr>
          <w:rFonts w:cs="Arial"/>
          <w:bCs w:val="0"/>
          <w:sz w:val="22"/>
          <w:szCs w:val="22"/>
        </w:rPr>
        <w:t xml:space="preserve"> </w:t>
      </w:r>
      <w:proofErr w:type="spellStart"/>
      <w:r w:rsidRPr="00B254CF">
        <w:rPr>
          <w:rFonts w:cs="Arial"/>
          <w:bCs w:val="0"/>
          <w:sz w:val="22"/>
          <w:szCs w:val="22"/>
        </w:rPr>
        <w:t>Statistical</w:t>
      </w:r>
      <w:proofErr w:type="spellEnd"/>
      <w:r w:rsidRPr="00B254CF">
        <w:rPr>
          <w:rFonts w:cs="Arial"/>
          <w:bCs w:val="0"/>
          <w:sz w:val="22"/>
          <w:szCs w:val="22"/>
        </w:rPr>
        <w:t xml:space="preserve"> Office of </w:t>
      </w:r>
      <w:proofErr w:type="spellStart"/>
      <w:r w:rsidRPr="00B254CF">
        <w:rPr>
          <w:rFonts w:cs="Arial"/>
          <w:bCs w:val="0"/>
          <w:sz w:val="22"/>
          <w:szCs w:val="22"/>
        </w:rPr>
        <w:t>the</w:t>
      </w:r>
      <w:proofErr w:type="spellEnd"/>
      <w:r w:rsidRPr="00B254CF">
        <w:rPr>
          <w:rFonts w:cs="Arial"/>
          <w:bCs w:val="0"/>
          <w:sz w:val="22"/>
          <w:szCs w:val="22"/>
        </w:rPr>
        <w:t xml:space="preserve"> SR </w:t>
      </w:r>
      <w:proofErr w:type="spellStart"/>
      <w:r w:rsidRPr="00B254CF">
        <w:rPr>
          <w:rFonts w:cs="Arial"/>
          <w:bCs w:val="0"/>
          <w:sz w:val="22"/>
          <w:szCs w:val="22"/>
        </w:rPr>
        <w:t>is</w:t>
      </w:r>
      <w:proofErr w:type="spellEnd"/>
      <w:r w:rsidRPr="00B254CF">
        <w:rPr>
          <w:rFonts w:cs="Arial"/>
          <w:bCs w:val="0"/>
          <w:sz w:val="22"/>
          <w:szCs w:val="22"/>
        </w:rPr>
        <w:t xml:space="preserve"> </w:t>
      </w:r>
      <w:proofErr w:type="spellStart"/>
      <w:r w:rsidRPr="00B254CF">
        <w:rPr>
          <w:rFonts w:cs="Arial"/>
          <w:bCs w:val="0"/>
          <w:sz w:val="22"/>
          <w:szCs w:val="22"/>
        </w:rPr>
        <w:t>available</w:t>
      </w:r>
      <w:proofErr w:type="spellEnd"/>
      <w:r w:rsidRPr="00B254CF">
        <w:rPr>
          <w:rFonts w:cs="Arial"/>
          <w:bCs w:val="0"/>
          <w:sz w:val="22"/>
          <w:szCs w:val="22"/>
        </w:rPr>
        <w:t xml:space="preserve"> on </w:t>
      </w:r>
      <w:proofErr w:type="spellStart"/>
      <w:r w:rsidRPr="00B254CF">
        <w:rPr>
          <w:rFonts w:cs="Arial"/>
          <w:bCs w:val="0"/>
          <w:sz w:val="22"/>
          <w:szCs w:val="22"/>
        </w:rPr>
        <w:t>the</w:t>
      </w:r>
      <w:proofErr w:type="spellEnd"/>
      <w:r w:rsidRPr="00B254CF">
        <w:rPr>
          <w:rFonts w:cs="Arial"/>
          <w:bCs w:val="0"/>
          <w:sz w:val="22"/>
          <w:szCs w:val="22"/>
        </w:rPr>
        <w:t xml:space="preserve"> Internet portal </w:t>
      </w:r>
      <w:hyperlink r:id="rId7" w:history="1">
        <w:r w:rsidRPr="00B254CF">
          <w:rPr>
            <w:rFonts w:cs="Arial"/>
            <w:bCs w:val="0"/>
            <w:color w:val="1E4E9D"/>
            <w:sz w:val="22"/>
            <w:szCs w:val="22"/>
          </w:rPr>
          <w:t>www.statistics.sk</w:t>
        </w:r>
      </w:hyperlink>
      <w:r w:rsidRPr="00B254CF">
        <w:rPr>
          <w:rFonts w:cs="Arial"/>
          <w:bCs w:val="0"/>
          <w:color w:val="2E74B5"/>
          <w:sz w:val="22"/>
          <w:szCs w:val="22"/>
        </w:rPr>
        <w:t>.</w:t>
      </w:r>
      <w:r w:rsidRPr="00B254CF">
        <w:rPr>
          <w:rFonts w:cs="Arial"/>
          <w:bCs w:val="0"/>
          <w:sz w:val="22"/>
          <w:szCs w:val="22"/>
        </w:rPr>
        <w:t xml:space="preserve"> </w:t>
      </w:r>
      <w:proofErr w:type="spellStart"/>
      <w:r w:rsidRPr="00B254CF">
        <w:rPr>
          <w:rFonts w:cs="Arial"/>
          <w:bCs w:val="0"/>
          <w:sz w:val="22"/>
          <w:szCs w:val="22"/>
        </w:rPr>
        <w:t>All</w:t>
      </w:r>
      <w:proofErr w:type="spellEnd"/>
      <w:r w:rsidRPr="00B254CF">
        <w:rPr>
          <w:rFonts w:cs="Arial"/>
          <w:bCs w:val="0"/>
          <w:sz w:val="22"/>
          <w:szCs w:val="22"/>
        </w:rPr>
        <w:t xml:space="preserve"> </w:t>
      </w:r>
      <w:proofErr w:type="spellStart"/>
      <w:r w:rsidRPr="00B254CF">
        <w:rPr>
          <w:rFonts w:cs="Arial"/>
          <w:bCs w:val="0"/>
          <w:sz w:val="22"/>
          <w:szCs w:val="22"/>
        </w:rPr>
        <w:t>amendments</w:t>
      </w:r>
      <w:proofErr w:type="spellEnd"/>
      <w:r w:rsidRPr="00B254CF">
        <w:rPr>
          <w:rFonts w:cs="Arial"/>
          <w:bCs w:val="0"/>
          <w:sz w:val="22"/>
          <w:szCs w:val="22"/>
        </w:rPr>
        <w:t xml:space="preserve"> of </w:t>
      </w:r>
      <w:proofErr w:type="spellStart"/>
      <w:r w:rsidRPr="00B254CF">
        <w:rPr>
          <w:rFonts w:cs="Arial"/>
          <w:bCs w:val="0"/>
          <w:sz w:val="22"/>
          <w:szCs w:val="22"/>
        </w:rPr>
        <w:t>deadlines</w:t>
      </w:r>
      <w:proofErr w:type="spellEnd"/>
      <w:r w:rsidRPr="00B254CF">
        <w:rPr>
          <w:rFonts w:cs="Arial"/>
          <w:bCs w:val="0"/>
          <w:sz w:val="22"/>
          <w:szCs w:val="22"/>
        </w:rPr>
        <w:t xml:space="preserve"> </w:t>
      </w:r>
      <w:proofErr w:type="spellStart"/>
      <w:r w:rsidRPr="00B254CF">
        <w:rPr>
          <w:rFonts w:cs="Arial"/>
          <w:bCs w:val="0"/>
          <w:sz w:val="22"/>
          <w:szCs w:val="22"/>
        </w:rPr>
        <w:t>for</w:t>
      </w:r>
      <w:proofErr w:type="spellEnd"/>
      <w:r w:rsidRPr="00B254CF">
        <w:rPr>
          <w:rFonts w:cs="Arial"/>
          <w:bCs w:val="0"/>
          <w:sz w:val="22"/>
          <w:szCs w:val="22"/>
        </w:rPr>
        <w:t xml:space="preserve"> </w:t>
      </w:r>
      <w:proofErr w:type="spellStart"/>
      <w:r w:rsidRPr="00B254CF">
        <w:rPr>
          <w:rFonts w:cs="Arial"/>
          <w:bCs w:val="0"/>
          <w:sz w:val="22"/>
          <w:szCs w:val="22"/>
        </w:rPr>
        <w:t>the</w:t>
      </w:r>
      <w:proofErr w:type="spellEnd"/>
      <w:r w:rsidRPr="00B254CF">
        <w:rPr>
          <w:rFonts w:cs="Arial"/>
          <w:bCs w:val="0"/>
          <w:sz w:val="22"/>
          <w:szCs w:val="22"/>
        </w:rPr>
        <w:t xml:space="preserve"> </w:t>
      </w:r>
      <w:proofErr w:type="spellStart"/>
      <w:r w:rsidRPr="00B254CF">
        <w:rPr>
          <w:rFonts w:cs="Arial"/>
          <w:bCs w:val="0"/>
          <w:sz w:val="22"/>
          <w:szCs w:val="22"/>
        </w:rPr>
        <w:t>category</w:t>
      </w:r>
      <w:proofErr w:type="spellEnd"/>
      <w:r w:rsidRPr="00B254CF">
        <w:rPr>
          <w:rFonts w:cs="Arial"/>
          <w:bCs w:val="0"/>
          <w:sz w:val="22"/>
          <w:szCs w:val="22"/>
        </w:rPr>
        <w:t xml:space="preserve"> of </w:t>
      </w:r>
      <w:proofErr w:type="spellStart"/>
      <w:r w:rsidR="00971469" w:rsidRPr="00B254CF">
        <w:rPr>
          <w:rFonts w:cs="Arial"/>
          <w:bCs w:val="0"/>
          <w:sz w:val="22"/>
          <w:szCs w:val="22"/>
        </w:rPr>
        <w:t>Producer</w:t>
      </w:r>
      <w:proofErr w:type="spellEnd"/>
      <w:r w:rsidR="00971469" w:rsidRPr="00B254CF">
        <w:rPr>
          <w:rFonts w:cs="Arial"/>
          <w:bCs w:val="0"/>
          <w:sz w:val="22"/>
          <w:szCs w:val="22"/>
        </w:rPr>
        <w:t xml:space="preserve"> </w:t>
      </w:r>
      <w:proofErr w:type="spellStart"/>
      <w:r w:rsidR="00971469" w:rsidRPr="00B254CF">
        <w:rPr>
          <w:rFonts w:cs="Arial"/>
          <w:bCs w:val="0"/>
          <w:sz w:val="22"/>
          <w:szCs w:val="22"/>
        </w:rPr>
        <w:t>price</w:t>
      </w:r>
      <w:proofErr w:type="spellEnd"/>
      <w:r w:rsidR="00971469" w:rsidRPr="00B254CF">
        <w:rPr>
          <w:rFonts w:cs="Arial"/>
          <w:bCs w:val="0"/>
          <w:sz w:val="22"/>
          <w:szCs w:val="22"/>
        </w:rPr>
        <w:t xml:space="preserve"> </w:t>
      </w:r>
      <w:proofErr w:type="spellStart"/>
      <w:r w:rsidR="00971469" w:rsidRPr="00B254CF">
        <w:rPr>
          <w:rFonts w:cs="Arial"/>
          <w:bCs w:val="0"/>
          <w:sz w:val="22"/>
          <w:szCs w:val="22"/>
        </w:rPr>
        <w:t>indices</w:t>
      </w:r>
      <w:proofErr w:type="spellEnd"/>
      <w:r w:rsidR="00971469" w:rsidRPr="00B254CF">
        <w:rPr>
          <w:rFonts w:cs="Arial"/>
          <w:bCs w:val="0"/>
          <w:sz w:val="22"/>
          <w:szCs w:val="22"/>
        </w:rPr>
        <w:t xml:space="preserve"> of </w:t>
      </w:r>
      <w:proofErr w:type="spellStart"/>
      <w:r w:rsidR="00971469" w:rsidRPr="00B254CF">
        <w:rPr>
          <w:rFonts w:cs="Arial"/>
          <w:bCs w:val="0"/>
          <w:sz w:val="22"/>
          <w:szCs w:val="22"/>
        </w:rPr>
        <w:t>agricultural</w:t>
      </w:r>
      <w:proofErr w:type="spellEnd"/>
      <w:r w:rsidR="00971469" w:rsidRPr="00B254CF">
        <w:rPr>
          <w:rFonts w:cs="Arial"/>
          <w:bCs w:val="0"/>
          <w:sz w:val="22"/>
          <w:szCs w:val="22"/>
        </w:rPr>
        <w:t xml:space="preserve"> </w:t>
      </w:r>
      <w:proofErr w:type="spellStart"/>
      <w:r w:rsidR="00971469" w:rsidRPr="00B254CF">
        <w:rPr>
          <w:rFonts w:cs="Arial"/>
          <w:bCs w:val="0"/>
          <w:sz w:val="22"/>
          <w:szCs w:val="22"/>
        </w:rPr>
        <w:t>products</w:t>
      </w:r>
      <w:proofErr w:type="spellEnd"/>
      <w:r w:rsidR="00971469" w:rsidRPr="00B254CF">
        <w:rPr>
          <w:rFonts w:cs="Arial"/>
          <w:bCs w:val="0"/>
          <w:sz w:val="22"/>
          <w:szCs w:val="22"/>
        </w:rPr>
        <w:t xml:space="preserve"> in </w:t>
      </w:r>
      <w:proofErr w:type="spellStart"/>
      <w:r w:rsidR="00971469" w:rsidRPr="00B254CF">
        <w:rPr>
          <w:rFonts w:cs="Arial"/>
          <w:bCs w:val="0"/>
          <w:sz w:val="22"/>
          <w:szCs w:val="22"/>
        </w:rPr>
        <w:t>the</w:t>
      </w:r>
      <w:proofErr w:type="spellEnd"/>
      <w:r w:rsidR="00971469" w:rsidRPr="00B254CF">
        <w:rPr>
          <w:rFonts w:cs="Arial"/>
          <w:bCs w:val="0"/>
          <w:sz w:val="22"/>
          <w:szCs w:val="22"/>
        </w:rPr>
        <w:t xml:space="preserve"> Slovak </w:t>
      </w:r>
      <w:proofErr w:type="spellStart"/>
      <w:r w:rsidR="00971469" w:rsidRPr="00B254CF">
        <w:rPr>
          <w:rFonts w:cs="Arial"/>
          <w:bCs w:val="0"/>
          <w:sz w:val="22"/>
          <w:szCs w:val="22"/>
        </w:rPr>
        <w:t>Republic</w:t>
      </w:r>
      <w:proofErr w:type="spellEnd"/>
      <w:r w:rsidRPr="00B254CF">
        <w:rPr>
          <w:rFonts w:cs="Arial"/>
          <w:bCs w:val="0"/>
          <w:sz w:val="22"/>
          <w:szCs w:val="22"/>
        </w:rPr>
        <w:t xml:space="preserve"> are </w:t>
      </w:r>
      <w:proofErr w:type="spellStart"/>
      <w:r w:rsidRPr="00B254CF">
        <w:rPr>
          <w:rFonts w:cs="Arial"/>
          <w:bCs w:val="0"/>
          <w:sz w:val="22"/>
          <w:szCs w:val="22"/>
        </w:rPr>
        <w:t>published</w:t>
      </w:r>
      <w:proofErr w:type="spellEnd"/>
      <w:r w:rsidRPr="00B254CF">
        <w:rPr>
          <w:rFonts w:cs="Arial"/>
          <w:bCs w:val="0"/>
          <w:sz w:val="22"/>
          <w:szCs w:val="22"/>
        </w:rPr>
        <w:t xml:space="preserve"> on </w:t>
      </w:r>
      <w:proofErr w:type="spellStart"/>
      <w:r w:rsidRPr="00B254CF">
        <w:rPr>
          <w:rFonts w:cs="Arial"/>
          <w:bCs w:val="0"/>
          <w:sz w:val="22"/>
          <w:szCs w:val="22"/>
        </w:rPr>
        <w:t>the</w:t>
      </w:r>
      <w:proofErr w:type="spellEnd"/>
      <w:r w:rsidRPr="00B254CF">
        <w:rPr>
          <w:rFonts w:cs="Arial"/>
          <w:bCs w:val="0"/>
          <w:sz w:val="22"/>
          <w:szCs w:val="22"/>
        </w:rPr>
        <w:t xml:space="preserve"> </w:t>
      </w:r>
      <w:proofErr w:type="spellStart"/>
      <w:r w:rsidRPr="00B254CF">
        <w:rPr>
          <w:rFonts w:cs="Arial"/>
          <w:bCs w:val="0"/>
          <w:sz w:val="22"/>
          <w:szCs w:val="22"/>
        </w:rPr>
        <w:t>given</w:t>
      </w:r>
      <w:proofErr w:type="spellEnd"/>
      <w:r w:rsidRPr="00B254CF">
        <w:rPr>
          <w:rFonts w:cs="Arial"/>
          <w:bCs w:val="0"/>
          <w:sz w:val="22"/>
          <w:szCs w:val="22"/>
        </w:rPr>
        <w:t xml:space="preserve"> Internet portal in </w:t>
      </w:r>
      <w:proofErr w:type="spellStart"/>
      <w:r w:rsidRPr="00B254CF">
        <w:rPr>
          <w:rFonts w:cs="Arial"/>
          <w:bCs w:val="0"/>
          <w:sz w:val="22"/>
          <w:szCs w:val="22"/>
        </w:rPr>
        <w:t>advance</w:t>
      </w:r>
      <w:proofErr w:type="spellEnd"/>
      <w:r w:rsidRPr="00B254CF">
        <w:rPr>
          <w:rFonts w:cs="Arial"/>
          <w:bCs w:val="0"/>
          <w:sz w:val="22"/>
          <w:szCs w:val="22"/>
        </w:rPr>
        <w:t xml:space="preserve">. </w:t>
      </w:r>
    </w:p>
    <w:p w:rsidR="00B23A46" w:rsidRPr="00B254CF" w:rsidRDefault="00B23A46" w:rsidP="00B23A46">
      <w:pPr>
        <w:tabs>
          <w:tab w:val="left" w:pos="5529"/>
        </w:tabs>
        <w:spacing w:line="276" w:lineRule="auto"/>
        <w:jc w:val="both"/>
        <w:rPr>
          <w:rFonts w:cs="Arial"/>
          <w:b/>
          <w:sz w:val="22"/>
          <w:szCs w:val="20"/>
        </w:rPr>
      </w:pPr>
    </w:p>
    <w:p w:rsidR="00B23A46" w:rsidRPr="00B254CF" w:rsidRDefault="00B23A46" w:rsidP="00B23A46">
      <w:pPr>
        <w:tabs>
          <w:tab w:val="left" w:pos="5529"/>
        </w:tabs>
        <w:spacing w:line="276" w:lineRule="auto"/>
        <w:jc w:val="both"/>
        <w:rPr>
          <w:rFonts w:cs="Arial"/>
          <w:b/>
          <w:sz w:val="22"/>
          <w:szCs w:val="20"/>
        </w:rPr>
      </w:pPr>
    </w:p>
    <w:p w:rsidR="00B23A46" w:rsidRPr="00B254CF" w:rsidRDefault="00B23A46" w:rsidP="00B23A46">
      <w:pPr>
        <w:tabs>
          <w:tab w:val="left" w:pos="5529"/>
        </w:tabs>
        <w:spacing w:line="276" w:lineRule="auto"/>
        <w:jc w:val="both"/>
        <w:rPr>
          <w:rFonts w:cs="Arial"/>
          <w:b/>
          <w:sz w:val="22"/>
          <w:szCs w:val="20"/>
        </w:rPr>
      </w:pPr>
    </w:p>
    <w:p w:rsidR="00B23A46" w:rsidRPr="00B254CF" w:rsidRDefault="00B23A46" w:rsidP="00B23A46">
      <w:pPr>
        <w:tabs>
          <w:tab w:val="left" w:pos="5529"/>
        </w:tabs>
        <w:spacing w:line="276" w:lineRule="auto"/>
        <w:jc w:val="both"/>
        <w:rPr>
          <w:rFonts w:cs="Arial"/>
          <w:b/>
          <w:sz w:val="22"/>
          <w:szCs w:val="20"/>
        </w:rPr>
      </w:pPr>
    </w:p>
    <w:p w:rsidR="00B23A46" w:rsidRPr="00B254CF" w:rsidRDefault="00B23A46" w:rsidP="00B23A46">
      <w:pPr>
        <w:tabs>
          <w:tab w:val="left" w:pos="5529"/>
        </w:tabs>
        <w:spacing w:line="276" w:lineRule="auto"/>
        <w:jc w:val="both"/>
        <w:rPr>
          <w:rFonts w:cs="Arial"/>
          <w:b/>
          <w:sz w:val="22"/>
          <w:szCs w:val="20"/>
        </w:rPr>
      </w:pPr>
    </w:p>
    <w:p w:rsidR="00B23A46" w:rsidRPr="00B254CF" w:rsidRDefault="00B23A46" w:rsidP="00B23A46">
      <w:pPr>
        <w:tabs>
          <w:tab w:val="left" w:pos="5529"/>
        </w:tabs>
        <w:spacing w:line="276" w:lineRule="auto"/>
        <w:jc w:val="both"/>
        <w:rPr>
          <w:rFonts w:cs="Arial"/>
          <w:b/>
          <w:sz w:val="22"/>
          <w:szCs w:val="20"/>
        </w:rPr>
      </w:pPr>
    </w:p>
    <w:p w:rsidR="00B23A46" w:rsidRPr="00B254CF" w:rsidRDefault="00B23A46" w:rsidP="00B23A46">
      <w:pPr>
        <w:tabs>
          <w:tab w:val="left" w:pos="5529"/>
        </w:tabs>
        <w:spacing w:line="276" w:lineRule="auto"/>
        <w:jc w:val="both"/>
        <w:rPr>
          <w:rFonts w:cs="Arial"/>
          <w:b/>
          <w:sz w:val="22"/>
          <w:szCs w:val="20"/>
        </w:rPr>
      </w:pPr>
    </w:p>
    <w:p w:rsidR="00B23A46" w:rsidRPr="00B254CF" w:rsidRDefault="00B23A46" w:rsidP="00B23A46">
      <w:pPr>
        <w:tabs>
          <w:tab w:val="left" w:pos="5529"/>
        </w:tabs>
        <w:spacing w:line="276" w:lineRule="auto"/>
        <w:jc w:val="both"/>
        <w:rPr>
          <w:rFonts w:cs="Arial"/>
          <w:b/>
          <w:sz w:val="22"/>
          <w:szCs w:val="20"/>
        </w:rPr>
      </w:pPr>
    </w:p>
    <w:p w:rsidR="00B23A46" w:rsidRPr="00B254CF" w:rsidRDefault="00B23A46" w:rsidP="00B23A46">
      <w:pPr>
        <w:tabs>
          <w:tab w:val="left" w:pos="5529"/>
        </w:tabs>
        <w:spacing w:line="276" w:lineRule="auto"/>
        <w:jc w:val="both"/>
        <w:rPr>
          <w:rFonts w:cs="Arial"/>
          <w:b/>
          <w:sz w:val="22"/>
          <w:szCs w:val="20"/>
        </w:rPr>
      </w:pPr>
    </w:p>
    <w:p w:rsidR="00B23A46" w:rsidRPr="00B254CF" w:rsidRDefault="00B23A46" w:rsidP="00B23A46">
      <w:pPr>
        <w:tabs>
          <w:tab w:val="left" w:pos="5529"/>
        </w:tabs>
        <w:spacing w:line="276" w:lineRule="auto"/>
        <w:jc w:val="both"/>
        <w:rPr>
          <w:rFonts w:cs="Arial"/>
          <w:b/>
          <w:sz w:val="22"/>
          <w:szCs w:val="20"/>
        </w:rPr>
      </w:pPr>
    </w:p>
    <w:p w:rsidR="00B23A46" w:rsidRPr="00B254CF" w:rsidRDefault="00B23A46" w:rsidP="00B23A46">
      <w:pPr>
        <w:tabs>
          <w:tab w:val="left" w:pos="5529"/>
        </w:tabs>
        <w:spacing w:line="276" w:lineRule="auto"/>
        <w:jc w:val="both"/>
        <w:rPr>
          <w:rFonts w:cs="Arial"/>
          <w:b/>
          <w:sz w:val="22"/>
          <w:szCs w:val="20"/>
        </w:rPr>
      </w:pPr>
    </w:p>
    <w:p w:rsidR="00B23A46" w:rsidRPr="00B254CF" w:rsidRDefault="00B23A46" w:rsidP="00B23A46">
      <w:pPr>
        <w:tabs>
          <w:tab w:val="left" w:pos="5529"/>
        </w:tabs>
        <w:spacing w:line="276" w:lineRule="auto"/>
        <w:jc w:val="both"/>
        <w:rPr>
          <w:rFonts w:cs="Arial"/>
          <w:b/>
          <w:sz w:val="22"/>
          <w:szCs w:val="20"/>
        </w:rPr>
      </w:pPr>
      <w:r w:rsidRPr="00B254CF">
        <w:rPr>
          <w:rFonts w:cs="Arial"/>
          <w:b/>
          <w:color w:val="555655"/>
          <w:sz w:val="22"/>
          <w:szCs w:val="20"/>
        </w:rPr>
        <w:t>Autor publikácie:</w:t>
      </w:r>
      <w:r w:rsidRPr="00B254CF">
        <w:rPr>
          <w:rFonts w:cs="Arial"/>
          <w:b/>
          <w:sz w:val="22"/>
          <w:szCs w:val="20"/>
        </w:rPr>
        <w:t xml:space="preserve"> </w:t>
      </w:r>
      <w:r w:rsidR="00971469" w:rsidRPr="00B254CF">
        <w:rPr>
          <w:rFonts w:cs="Arial"/>
          <w:bCs w:val="0"/>
          <w:sz w:val="22"/>
          <w:szCs w:val="22"/>
        </w:rPr>
        <w:t>Katarína Kronome</w:t>
      </w:r>
    </w:p>
    <w:p w:rsidR="00B23A46" w:rsidRPr="00B254CF" w:rsidRDefault="00B23A46" w:rsidP="00B23A46">
      <w:pPr>
        <w:tabs>
          <w:tab w:val="left" w:pos="5529"/>
        </w:tabs>
        <w:spacing w:line="276" w:lineRule="auto"/>
        <w:rPr>
          <w:rFonts w:cs="Arial"/>
          <w:bCs w:val="0"/>
          <w:sz w:val="22"/>
          <w:szCs w:val="20"/>
        </w:rPr>
      </w:pPr>
    </w:p>
    <w:p w:rsidR="00B23A46" w:rsidRPr="00B254CF" w:rsidRDefault="00B23A46" w:rsidP="00B23A46">
      <w:pPr>
        <w:tabs>
          <w:tab w:val="left" w:pos="5529"/>
        </w:tabs>
        <w:spacing w:line="276" w:lineRule="auto"/>
        <w:rPr>
          <w:rFonts w:cs="Arial"/>
          <w:bCs w:val="0"/>
          <w:sz w:val="22"/>
          <w:szCs w:val="22"/>
        </w:rPr>
      </w:pPr>
    </w:p>
    <w:p w:rsidR="00971469" w:rsidRPr="00B254CF" w:rsidRDefault="00971469" w:rsidP="00B23A46">
      <w:pPr>
        <w:tabs>
          <w:tab w:val="left" w:pos="5529"/>
        </w:tabs>
        <w:spacing w:line="276" w:lineRule="auto"/>
        <w:rPr>
          <w:rFonts w:cs="Arial"/>
          <w:bCs w:val="0"/>
          <w:sz w:val="22"/>
          <w:szCs w:val="22"/>
        </w:rPr>
      </w:pPr>
    </w:p>
    <w:p w:rsidR="00B23A46" w:rsidRPr="00B254CF" w:rsidRDefault="00B23A46" w:rsidP="00B23A46">
      <w:pPr>
        <w:tabs>
          <w:tab w:val="left" w:pos="5529"/>
        </w:tabs>
        <w:spacing w:line="276" w:lineRule="auto"/>
        <w:rPr>
          <w:rFonts w:cs="Arial"/>
          <w:bCs w:val="0"/>
          <w:sz w:val="22"/>
          <w:szCs w:val="22"/>
        </w:rPr>
      </w:pPr>
    </w:p>
    <w:p w:rsidR="00B23A46" w:rsidRPr="00B254CF" w:rsidRDefault="00B23A46" w:rsidP="00B23A46">
      <w:pPr>
        <w:tabs>
          <w:tab w:val="left" w:pos="5529"/>
        </w:tabs>
        <w:spacing w:line="276" w:lineRule="auto"/>
        <w:rPr>
          <w:rFonts w:cs="Arial"/>
          <w:bCs w:val="0"/>
          <w:sz w:val="22"/>
          <w:szCs w:val="22"/>
        </w:rPr>
      </w:pPr>
    </w:p>
    <w:p w:rsidR="00B23A46" w:rsidRPr="00B254CF" w:rsidRDefault="00B23A46" w:rsidP="00B23A46">
      <w:pPr>
        <w:keepNext/>
        <w:tabs>
          <w:tab w:val="left" w:pos="5529"/>
        </w:tabs>
        <w:spacing w:before="160" w:line="276" w:lineRule="auto"/>
        <w:outlineLvl w:val="0"/>
        <w:rPr>
          <w:rFonts w:cs="Arial"/>
          <w:b/>
          <w:iCs/>
          <w:color w:val="555655"/>
          <w:sz w:val="22"/>
          <w:szCs w:val="22"/>
        </w:rPr>
      </w:pPr>
      <w:r w:rsidRPr="00B254CF">
        <w:rPr>
          <w:rFonts w:cs="Arial"/>
          <w:b/>
          <w:iCs/>
          <w:color w:val="555655"/>
          <w:sz w:val="22"/>
          <w:szCs w:val="22"/>
        </w:rPr>
        <w:t>Štatistický úrad Slovenskej republiky</w:t>
      </w:r>
    </w:p>
    <w:p w:rsidR="00B23A46" w:rsidRPr="00B254CF" w:rsidRDefault="00B23A46" w:rsidP="00B23A46">
      <w:pPr>
        <w:tabs>
          <w:tab w:val="left" w:pos="5529"/>
        </w:tabs>
        <w:spacing w:line="276" w:lineRule="auto"/>
        <w:rPr>
          <w:rFonts w:cs="Arial"/>
          <w:bCs w:val="0"/>
          <w:iCs/>
          <w:sz w:val="22"/>
          <w:szCs w:val="22"/>
        </w:rPr>
      </w:pPr>
      <w:r w:rsidRPr="00B254CF">
        <w:rPr>
          <w:rFonts w:cs="Arial"/>
          <w:bCs w:val="0"/>
          <w:iCs/>
          <w:sz w:val="22"/>
          <w:szCs w:val="22"/>
        </w:rPr>
        <w:t>Informačný servis</w:t>
      </w:r>
    </w:p>
    <w:p w:rsidR="00B23A46" w:rsidRPr="00B254CF" w:rsidRDefault="00B23A46" w:rsidP="00B23A46">
      <w:pPr>
        <w:tabs>
          <w:tab w:val="left" w:pos="5529"/>
        </w:tabs>
        <w:spacing w:line="276" w:lineRule="auto"/>
        <w:rPr>
          <w:rFonts w:cs="Arial"/>
          <w:bCs w:val="0"/>
          <w:iCs/>
          <w:sz w:val="22"/>
          <w:szCs w:val="22"/>
        </w:rPr>
      </w:pPr>
      <w:proofErr w:type="spellStart"/>
      <w:r w:rsidRPr="00B254CF">
        <w:rPr>
          <w:rFonts w:cs="Arial"/>
          <w:bCs w:val="0"/>
          <w:iCs/>
          <w:sz w:val="22"/>
          <w:szCs w:val="22"/>
        </w:rPr>
        <w:t>Miletičova</w:t>
      </w:r>
      <w:proofErr w:type="spellEnd"/>
      <w:r w:rsidRPr="00B254CF">
        <w:rPr>
          <w:rFonts w:cs="Arial"/>
          <w:bCs w:val="0"/>
          <w:iCs/>
          <w:sz w:val="22"/>
          <w:szCs w:val="22"/>
        </w:rPr>
        <w:t xml:space="preserve"> 3</w:t>
      </w:r>
    </w:p>
    <w:p w:rsidR="00B23A46" w:rsidRPr="00B254CF" w:rsidRDefault="00B23A46" w:rsidP="00B23A46">
      <w:pPr>
        <w:tabs>
          <w:tab w:val="left" w:pos="5529"/>
        </w:tabs>
        <w:spacing w:line="276" w:lineRule="auto"/>
        <w:rPr>
          <w:rFonts w:cs="Arial"/>
          <w:bCs w:val="0"/>
          <w:iCs/>
          <w:sz w:val="22"/>
          <w:szCs w:val="22"/>
        </w:rPr>
      </w:pPr>
      <w:r w:rsidRPr="00B254CF">
        <w:rPr>
          <w:rFonts w:cs="Arial"/>
          <w:bCs w:val="0"/>
          <w:iCs/>
          <w:sz w:val="22"/>
          <w:szCs w:val="22"/>
        </w:rPr>
        <w:t>824 67 Bratislava</w:t>
      </w:r>
    </w:p>
    <w:p w:rsidR="00B23A46" w:rsidRPr="00B254CF" w:rsidRDefault="00B23A46" w:rsidP="00B23A46">
      <w:pPr>
        <w:tabs>
          <w:tab w:val="left" w:pos="5529"/>
        </w:tabs>
        <w:spacing w:line="276" w:lineRule="auto"/>
        <w:rPr>
          <w:rFonts w:cs="Arial"/>
          <w:bCs w:val="0"/>
          <w:iCs/>
          <w:sz w:val="22"/>
          <w:szCs w:val="22"/>
        </w:rPr>
      </w:pPr>
      <w:r w:rsidRPr="00B254CF">
        <w:rPr>
          <w:rFonts w:cs="Arial"/>
          <w:bCs w:val="0"/>
          <w:iCs/>
          <w:sz w:val="22"/>
          <w:szCs w:val="22"/>
        </w:rPr>
        <w:t>tel. +421/2/50 23 63 35, +421/2/50 23 63 39</w:t>
      </w:r>
    </w:p>
    <w:p w:rsidR="00B23A46" w:rsidRPr="00B254CF" w:rsidRDefault="00B23A46" w:rsidP="00B23A46">
      <w:pPr>
        <w:tabs>
          <w:tab w:val="left" w:pos="5529"/>
        </w:tabs>
        <w:spacing w:line="276" w:lineRule="auto"/>
        <w:rPr>
          <w:rFonts w:cs="Arial"/>
          <w:bCs w:val="0"/>
          <w:iCs/>
          <w:sz w:val="22"/>
          <w:szCs w:val="22"/>
        </w:rPr>
      </w:pPr>
      <w:r w:rsidRPr="00B254CF">
        <w:rPr>
          <w:rFonts w:cs="Arial"/>
          <w:bCs w:val="0"/>
          <w:iCs/>
          <w:sz w:val="22"/>
          <w:szCs w:val="22"/>
        </w:rPr>
        <w:t xml:space="preserve">e-mail: info@statistics.sk </w:t>
      </w:r>
    </w:p>
    <w:p w:rsidR="00B23A46" w:rsidRPr="00B254CF" w:rsidRDefault="00066626" w:rsidP="00B23A46">
      <w:pPr>
        <w:tabs>
          <w:tab w:val="left" w:pos="5529"/>
        </w:tabs>
        <w:spacing w:line="276" w:lineRule="auto"/>
        <w:rPr>
          <w:rFonts w:cs="Arial"/>
          <w:bCs w:val="0"/>
          <w:iCs/>
          <w:color w:val="1E4E9D"/>
          <w:sz w:val="22"/>
          <w:szCs w:val="22"/>
        </w:rPr>
      </w:pPr>
      <w:hyperlink r:id="rId8" w:history="1">
        <w:r w:rsidR="00B23A46" w:rsidRPr="00B254CF">
          <w:rPr>
            <w:rFonts w:cs="Arial"/>
            <w:bCs w:val="0"/>
            <w:iCs/>
            <w:color w:val="1E4E9D"/>
            <w:sz w:val="22"/>
            <w:szCs w:val="22"/>
          </w:rPr>
          <w:t>www.statistics.sk</w:t>
        </w:r>
      </w:hyperlink>
      <w:r w:rsidR="00B23A46" w:rsidRPr="00B254CF">
        <w:rPr>
          <w:rFonts w:cs="Arial"/>
          <w:bCs w:val="0"/>
          <w:iCs/>
          <w:color w:val="1E4E9D"/>
          <w:sz w:val="22"/>
          <w:szCs w:val="22"/>
        </w:rPr>
        <w:t xml:space="preserve"> </w:t>
      </w:r>
    </w:p>
    <w:p w:rsidR="00B23A46" w:rsidRPr="00B254CF" w:rsidRDefault="00B23A46" w:rsidP="00B23A46">
      <w:pPr>
        <w:tabs>
          <w:tab w:val="left" w:pos="5529"/>
        </w:tabs>
        <w:spacing w:line="276" w:lineRule="auto"/>
        <w:rPr>
          <w:rFonts w:cs="Arial"/>
          <w:bCs w:val="0"/>
          <w:iCs/>
          <w:sz w:val="22"/>
          <w:szCs w:val="22"/>
        </w:rPr>
      </w:pPr>
    </w:p>
    <w:p w:rsidR="00971469" w:rsidRPr="00B254CF" w:rsidRDefault="00971469" w:rsidP="00B23A46">
      <w:pPr>
        <w:spacing w:before="240"/>
        <w:jc w:val="both"/>
        <w:rPr>
          <w:rFonts w:cs="Arial"/>
          <w:bCs w:val="0"/>
          <w:sz w:val="22"/>
          <w:szCs w:val="22"/>
        </w:rPr>
      </w:pPr>
    </w:p>
    <w:p w:rsidR="00971469" w:rsidRPr="00B254CF" w:rsidRDefault="00971469" w:rsidP="00B23A46">
      <w:pPr>
        <w:spacing w:before="240"/>
        <w:jc w:val="both"/>
        <w:rPr>
          <w:rFonts w:cs="Arial"/>
          <w:bCs w:val="0"/>
          <w:sz w:val="22"/>
          <w:szCs w:val="22"/>
        </w:rPr>
      </w:pPr>
    </w:p>
    <w:p w:rsidR="00B23A46" w:rsidRPr="00B254CF" w:rsidRDefault="00B23A46" w:rsidP="00B23A46">
      <w:pPr>
        <w:spacing w:before="240"/>
        <w:jc w:val="both"/>
        <w:rPr>
          <w:rFonts w:cs="Arial"/>
          <w:bCs w:val="0"/>
          <w:sz w:val="22"/>
          <w:szCs w:val="22"/>
        </w:rPr>
      </w:pPr>
      <w:r w:rsidRPr="00B254CF">
        <w:rPr>
          <w:rFonts w:cs="Arial"/>
          <w:bCs w:val="0"/>
          <w:noProof/>
          <w:sz w:val="22"/>
          <w:szCs w:val="22"/>
          <w:lang w:eastAsia="sk-SK"/>
        </w:rPr>
        <mc:AlternateContent>
          <mc:Choice Requires="wps">
            <w:drawing>
              <wp:anchor distT="0" distB="0" distL="114300" distR="114300" simplePos="0" relativeHeight="251660288" behindDoc="0" locked="0" layoutInCell="1" allowOverlap="1" wp14:anchorId="37D98D94" wp14:editId="30194B8C">
                <wp:simplePos x="0" y="0"/>
                <wp:positionH relativeFrom="column">
                  <wp:posOffset>13970</wp:posOffset>
                </wp:positionH>
                <wp:positionV relativeFrom="paragraph">
                  <wp:posOffset>10160</wp:posOffset>
                </wp:positionV>
                <wp:extent cx="5800725" cy="0"/>
                <wp:effectExtent l="0" t="0" r="0" b="0"/>
                <wp:wrapNone/>
                <wp:docPr id="1" name="Rovná spojovacia šípk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0725" cy="0"/>
                        </a:xfrm>
                        <a:prstGeom prst="straightConnector1">
                          <a:avLst/>
                        </a:prstGeom>
                        <a:noFill/>
                        <a:ln w="16510">
                          <a:solidFill>
                            <a:srgbClr val="888888"/>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756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08BA3E5" id="_x0000_t32" coordsize="21600,21600" o:spt="32" o:oned="t" path="m,l21600,21600e" filled="f">
                <v:path arrowok="t" fillok="f" o:connecttype="none"/>
                <o:lock v:ext="edit" shapetype="t"/>
              </v:shapetype>
              <v:shape id="Rovná spojovacia šípka 1" o:spid="_x0000_s1026" type="#_x0000_t32" style="position:absolute;margin-left:1.1pt;margin-top:.8pt;width:456.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5kAzQIAAL4FAAAOAAAAZHJzL2Uyb0RvYy54bWysVEtu2zAQ3RfoHQjtFUmWZMlG7CCR5G76&#10;CZoUXdMiZbGRSIGkLRtFD5MD9BRB79UhZSt1uimKcEHwN29m3jzO5dW+bdCOSsUEXzjBhe8gyktB&#10;GN8snC/3Kzd1kNKYE9wIThfOgSrnavn2zWXfzelE1KIhVCIA4Wredwun1rqbe54qa9pidSE6yuGy&#10;ErLFGrZy4xGJe0BvG2/i+1OvF5J0UpRUKTjNh0tnafGripb6U1UpqlGzcCA2bWdp57WZveUlnm8k&#10;7mpWHsPA/xFFixkHpyNUjjVGW8n+gmpZKYUSlb4oReuJqmIltTlANoH/Ipu7GnfU5gLkqG6kSb0e&#10;bPlxdysRI1A7B3HcQok+ix1/ekSqE9/EDpcMo1+PTz+7B4wCQ1ffqTlYZfxWmoTLPb/r3ovyQSEu&#10;shrzDbVh3x86wLIW3pmJ2agOnK77D4LAG7zVwnK3r2RrIIEVtLclOowlonuNSjiMU99PJrGDytOd&#10;h+cnw04q/Y6KFpnFwlFaYrapdSY4ByEIGVg3ePdeaUgEDE8GxisXK9Y0Vg8NRz3EPo0D31oo0TBi&#10;bs07JTfrrJFoh0FSqR2GFkA7e2agc6zq4R2B1aA1KbacWC81xaQ4rjVmzbAGnIYbP9SqdwgVdnsN&#10;S3sOTFhlfZ/5syIt0siNJtPCjfw8d69XWeROV0ES52GeZXnwwyQQRPOaEUK5yeGk8iD6NxUd/9ug&#10;z1HnI1veObolAoI9j/R6FftJFKZuksShG4WF796kq8y9zoLpNCluspviRaSFzV69TrAjlSYqsdVU&#10;3tWkR4QZlUzScAZNijDoCmHqT/1Z4iDcbKCdlVo6SAr9lenaitrI0WCcaSBM4ukkHKTVdDUeKh77&#10;ME7CGCRjuRndD0ydimx2Y5mOyT9zCaI4CcB+JvN/hp+4FuRwK43+zL+CJmGNjg3NdKE/9/bVc9td&#10;/gYAAP//AwBQSwMEFAAGAAgAAAAhACNnraLbAAAABQEAAA8AAABkcnMvZG93bnJldi54bWxMjl9L&#10;wzAUxd8Fv0O4gm8uXYdz1qZjCEPQB90UfM2au6SsuSlNunV+eq++6OP5wzm/cjn6Vhyxj00gBdNJ&#10;BgKpDqYhq+DjfX2zABGTJqPbQKjgjBGW1eVFqQsTTrTB4zZZwSMUC63ApdQVUsbaoddxEjokzvah&#10;9zqx7K00vT7xuG9lnmVz6XVD/OB0h48O68N28Ao+X/PnlY3rl2HhDvY828/eNl9PSl1fjasHEAnH&#10;9FeGH3xGh4qZdmEgE0WrIM+5yPYcBKf309s7ELtfLatS/qevvgEAAP//AwBQSwECLQAUAAYACAAA&#10;ACEAtoM4kv4AAADhAQAAEwAAAAAAAAAAAAAAAAAAAAAAW0NvbnRlbnRfVHlwZXNdLnhtbFBLAQIt&#10;ABQABgAIAAAAIQA4/SH/1gAAAJQBAAALAAAAAAAAAAAAAAAAAC8BAABfcmVscy8ucmVsc1BLAQIt&#10;ABQABgAIAAAAIQDYQ5kAzQIAAL4FAAAOAAAAAAAAAAAAAAAAAC4CAABkcnMvZTJvRG9jLnhtbFBL&#10;AQItABQABgAIAAAAIQAjZ62i2wAAAAUBAAAPAAAAAAAAAAAAAAAAACcFAABkcnMvZG93bnJldi54&#10;bWxQSwUGAAAAAAQABADzAAAALwYAAAAA&#10;" strokecolor="#888" strokeweight="1.3pt">
                <v:stroke dashstyle="dash"/>
                <v:shadow color="#375623" opacity=".5" offset="1pt"/>
              </v:shape>
            </w:pict>
          </mc:Fallback>
        </mc:AlternateContent>
      </w:r>
      <w:r w:rsidRPr="00B254CF">
        <w:rPr>
          <w:rFonts w:cs="Arial"/>
          <w:bCs w:val="0"/>
          <w:sz w:val="22"/>
          <w:szCs w:val="22"/>
        </w:rPr>
        <w:t>Rozmnožovanie obsahu tejto publikácie, ako aj jednotlivých častí, v pôvodnej alebo upravenej podobe pre komerčné účely, je možné len s písomným súhlasom Štatistického úradu SR. Údaje, ktoré sú obsahom tejto publikácie, je možné použiť len s uvedením zdroja.</w:t>
      </w:r>
    </w:p>
    <w:p w:rsidR="00B23A46" w:rsidRPr="00B254CF" w:rsidRDefault="00B23A46" w:rsidP="00B23A46">
      <w:pPr>
        <w:jc w:val="both"/>
        <w:rPr>
          <w:rFonts w:cs="Arial"/>
          <w:bCs w:val="0"/>
          <w:sz w:val="22"/>
          <w:szCs w:val="22"/>
        </w:rPr>
      </w:pPr>
    </w:p>
    <w:p w:rsidR="00B23A46" w:rsidRPr="00B254CF" w:rsidRDefault="00B23A46" w:rsidP="00B23A46">
      <w:pPr>
        <w:jc w:val="both"/>
        <w:rPr>
          <w:rFonts w:ascii="Times New Roman" w:hAnsi="Times New Roman"/>
          <w:b/>
          <w:sz w:val="20"/>
          <w:szCs w:val="20"/>
        </w:rPr>
      </w:pPr>
      <w:r w:rsidRPr="00B254CF">
        <w:rPr>
          <w:rFonts w:cs="Arial"/>
          <w:sz w:val="22"/>
          <w:szCs w:val="22"/>
          <w:lang w:val="en-GB"/>
        </w:rPr>
        <w:t>Copying contents of this publication either whole or single parts, both in original and adjusted form for commercial purposes is possible only unless the Statistical Office of the Slovak Republic gives written permission. Data of this publication can be used only with identification of the source.</w:t>
      </w:r>
    </w:p>
    <w:tbl>
      <w:tblPr>
        <w:tblW w:w="9790" w:type="dxa"/>
        <w:tblLayout w:type="fixed"/>
        <w:tblCellMar>
          <w:left w:w="70" w:type="dxa"/>
          <w:right w:w="70" w:type="dxa"/>
        </w:tblCellMar>
        <w:tblLook w:val="0000" w:firstRow="0" w:lastRow="0" w:firstColumn="0" w:lastColumn="0" w:noHBand="0" w:noVBand="0"/>
      </w:tblPr>
      <w:tblGrid>
        <w:gridCol w:w="8170"/>
        <w:gridCol w:w="1620"/>
      </w:tblGrid>
      <w:tr w:rsidR="000769EC" w:rsidRPr="00B254CF" w:rsidTr="00CA2DD0">
        <w:tc>
          <w:tcPr>
            <w:tcW w:w="8170" w:type="dxa"/>
          </w:tcPr>
          <w:p w:rsidR="000769EC" w:rsidRPr="00B254CF" w:rsidRDefault="000769EC" w:rsidP="00CA2DD0">
            <w:pPr>
              <w:tabs>
                <w:tab w:val="left" w:pos="8210"/>
              </w:tabs>
              <w:rPr>
                <w:rFonts w:cs="Arial"/>
              </w:rPr>
            </w:pPr>
            <w:r w:rsidRPr="00B254CF">
              <w:rPr>
                <w:rFonts w:cs="Arial"/>
              </w:rPr>
              <w:lastRenderedPageBreak/>
              <w:t>OBSAH / CONTENTS</w:t>
            </w:r>
          </w:p>
          <w:p w:rsidR="000769EC" w:rsidRPr="00B254CF" w:rsidRDefault="000769EC" w:rsidP="00CA2DD0">
            <w:pPr>
              <w:rPr>
                <w:rFonts w:cs="Arial"/>
                <w:b/>
                <w:bCs w:val="0"/>
              </w:rPr>
            </w:pPr>
          </w:p>
          <w:p w:rsidR="000769EC" w:rsidRPr="00B254CF" w:rsidRDefault="000769EC" w:rsidP="00CA2DD0">
            <w:pPr>
              <w:rPr>
                <w:rFonts w:cs="Arial"/>
                <w:b/>
                <w:bCs w:val="0"/>
              </w:rPr>
            </w:pPr>
          </w:p>
        </w:tc>
        <w:tc>
          <w:tcPr>
            <w:tcW w:w="1620" w:type="dxa"/>
          </w:tcPr>
          <w:p w:rsidR="000769EC" w:rsidRPr="00B254CF" w:rsidRDefault="000769EC" w:rsidP="00CA2DD0">
            <w:pPr>
              <w:spacing w:before="200"/>
              <w:ind w:left="-70"/>
              <w:rPr>
                <w:rFonts w:cs="Arial"/>
              </w:rPr>
            </w:pPr>
            <w:r w:rsidRPr="00B254CF">
              <w:rPr>
                <w:rFonts w:cs="Arial"/>
              </w:rPr>
              <w:t xml:space="preserve">Strana / </w:t>
            </w:r>
            <w:proofErr w:type="spellStart"/>
            <w:r w:rsidRPr="00B254CF">
              <w:rPr>
                <w:rFonts w:cs="Arial"/>
              </w:rPr>
              <w:t>Page</w:t>
            </w:r>
            <w:proofErr w:type="spellEnd"/>
          </w:p>
        </w:tc>
      </w:tr>
      <w:tr w:rsidR="000769EC" w:rsidRPr="00B254CF" w:rsidTr="00CA2DD0">
        <w:tc>
          <w:tcPr>
            <w:tcW w:w="8170" w:type="dxa"/>
          </w:tcPr>
          <w:p w:rsidR="000769EC" w:rsidRPr="00B254CF" w:rsidRDefault="000769EC" w:rsidP="00CA2DD0">
            <w:pPr>
              <w:rPr>
                <w:rFonts w:cs="Arial"/>
              </w:rPr>
            </w:pPr>
            <w:r w:rsidRPr="00B254CF">
              <w:rPr>
                <w:rFonts w:cs="Arial"/>
              </w:rPr>
              <w:t xml:space="preserve">Metodické vysvetlivky / </w:t>
            </w:r>
            <w:proofErr w:type="spellStart"/>
            <w:r w:rsidRPr="00B254CF">
              <w:rPr>
                <w:rFonts w:cs="Arial"/>
              </w:rPr>
              <w:t>Methodological</w:t>
            </w:r>
            <w:proofErr w:type="spellEnd"/>
            <w:r w:rsidRPr="00B254CF">
              <w:rPr>
                <w:rFonts w:cs="Arial"/>
              </w:rPr>
              <w:t xml:space="preserve"> notes</w:t>
            </w:r>
          </w:p>
        </w:tc>
        <w:tc>
          <w:tcPr>
            <w:tcW w:w="1620" w:type="dxa"/>
          </w:tcPr>
          <w:p w:rsidR="000769EC" w:rsidRPr="00B254CF" w:rsidRDefault="000769EC" w:rsidP="00CA2DD0">
            <w:pPr>
              <w:rPr>
                <w:rFonts w:cs="Arial"/>
              </w:rPr>
            </w:pPr>
            <w:r w:rsidRPr="00B254CF">
              <w:rPr>
                <w:rFonts w:cs="Arial"/>
              </w:rPr>
              <w:t xml:space="preserve">        4 - 5</w:t>
            </w:r>
          </w:p>
        </w:tc>
      </w:tr>
      <w:tr w:rsidR="000769EC" w:rsidRPr="00B254CF" w:rsidTr="00CA2DD0">
        <w:tc>
          <w:tcPr>
            <w:tcW w:w="8170" w:type="dxa"/>
          </w:tcPr>
          <w:p w:rsidR="000769EC" w:rsidRPr="00B254CF" w:rsidRDefault="000769EC" w:rsidP="00CA2DD0">
            <w:pPr>
              <w:rPr>
                <w:rFonts w:cs="Arial"/>
              </w:rPr>
            </w:pPr>
          </w:p>
        </w:tc>
        <w:tc>
          <w:tcPr>
            <w:tcW w:w="1620" w:type="dxa"/>
          </w:tcPr>
          <w:p w:rsidR="000769EC" w:rsidRPr="00B254CF" w:rsidRDefault="000769EC" w:rsidP="00CA2DD0">
            <w:pPr>
              <w:jc w:val="center"/>
              <w:rPr>
                <w:rFonts w:cs="Arial"/>
              </w:rPr>
            </w:pPr>
          </w:p>
        </w:tc>
      </w:tr>
      <w:tr w:rsidR="000769EC" w:rsidRPr="00B254CF" w:rsidTr="00CA2DD0">
        <w:tc>
          <w:tcPr>
            <w:tcW w:w="8170" w:type="dxa"/>
          </w:tcPr>
          <w:p w:rsidR="000769EC" w:rsidRPr="00B254CF" w:rsidRDefault="000769EC" w:rsidP="00CA2DD0">
            <w:pPr>
              <w:rPr>
                <w:rFonts w:cs="Arial"/>
              </w:rPr>
            </w:pPr>
            <w:r w:rsidRPr="00B254CF">
              <w:rPr>
                <w:rFonts w:cs="Arial"/>
              </w:rPr>
              <w:t>Komentár k vývoju cien</w:t>
            </w:r>
          </w:p>
        </w:tc>
        <w:tc>
          <w:tcPr>
            <w:tcW w:w="1620" w:type="dxa"/>
          </w:tcPr>
          <w:p w:rsidR="000769EC" w:rsidRPr="00B254CF" w:rsidRDefault="000769EC" w:rsidP="00CA2DD0">
            <w:pPr>
              <w:jc w:val="center"/>
              <w:rPr>
                <w:rFonts w:cs="Arial"/>
              </w:rPr>
            </w:pPr>
            <w:r w:rsidRPr="00B254CF">
              <w:rPr>
                <w:rFonts w:cs="Arial"/>
              </w:rPr>
              <w:t xml:space="preserve">    6</w:t>
            </w:r>
          </w:p>
        </w:tc>
      </w:tr>
      <w:tr w:rsidR="000769EC" w:rsidRPr="00B254CF" w:rsidTr="00CA2DD0">
        <w:tc>
          <w:tcPr>
            <w:tcW w:w="8170" w:type="dxa"/>
          </w:tcPr>
          <w:p w:rsidR="000769EC" w:rsidRPr="00B254CF" w:rsidRDefault="000769EC" w:rsidP="00CA2DD0">
            <w:pPr>
              <w:rPr>
                <w:rFonts w:cs="Arial"/>
              </w:rPr>
            </w:pPr>
          </w:p>
        </w:tc>
        <w:tc>
          <w:tcPr>
            <w:tcW w:w="1620" w:type="dxa"/>
          </w:tcPr>
          <w:p w:rsidR="000769EC" w:rsidRPr="00B254CF" w:rsidRDefault="000769EC" w:rsidP="00CA2DD0">
            <w:pPr>
              <w:jc w:val="center"/>
              <w:rPr>
                <w:rFonts w:cs="Arial"/>
              </w:rPr>
            </w:pPr>
          </w:p>
        </w:tc>
      </w:tr>
      <w:tr w:rsidR="000769EC" w:rsidRPr="00B254CF" w:rsidTr="00CA2DD0">
        <w:tc>
          <w:tcPr>
            <w:tcW w:w="8170" w:type="dxa"/>
          </w:tcPr>
          <w:p w:rsidR="000769EC" w:rsidRPr="00B254CF" w:rsidRDefault="000769EC" w:rsidP="00CA2DD0">
            <w:pPr>
              <w:rPr>
                <w:rFonts w:cs="Arial"/>
              </w:rPr>
            </w:pPr>
            <w:r w:rsidRPr="00B254CF">
              <w:rPr>
                <w:rFonts w:cs="Arial"/>
              </w:rPr>
              <w:t xml:space="preserve">Indexy cien poľnohospodárskych výrobkov v úhrne / </w:t>
            </w:r>
            <w:proofErr w:type="spellStart"/>
            <w:r w:rsidRPr="00B254CF">
              <w:rPr>
                <w:rFonts w:cs="Arial"/>
              </w:rPr>
              <w:t>Producer</w:t>
            </w:r>
            <w:proofErr w:type="spellEnd"/>
            <w:r w:rsidRPr="00B254CF">
              <w:rPr>
                <w:rFonts w:cs="Arial"/>
              </w:rPr>
              <w:t xml:space="preserve"> </w:t>
            </w:r>
            <w:proofErr w:type="spellStart"/>
            <w:r w:rsidRPr="00B254CF">
              <w:rPr>
                <w:rFonts w:cs="Arial"/>
              </w:rPr>
              <w:t>price</w:t>
            </w:r>
            <w:proofErr w:type="spellEnd"/>
            <w:r w:rsidRPr="00B254CF">
              <w:rPr>
                <w:rFonts w:cs="Arial"/>
              </w:rPr>
              <w:t xml:space="preserve"> </w:t>
            </w:r>
          </w:p>
        </w:tc>
        <w:tc>
          <w:tcPr>
            <w:tcW w:w="1620" w:type="dxa"/>
          </w:tcPr>
          <w:p w:rsidR="000769EC" w:rsidRPr="00B254CF" w:rsidRDefault="000769EC" w:rsidP="00CA2DD0">
            <w:pPr>
              <w:jc w:val="center"/>
              <w:rPr>
                <w:rFonts w:cs="Arial"/>
              </w:rPr>
            </w:pPr>
            <w:r w:rsidRPr="00B254CF">
              <w:rPr>
                <w:rFonts w:cs="Arial"/>
              </w:rPr>
              <w:t xml:space="preserve">    7</w:t>
            </w:r>
          </w:p>
        </w:tc>
      </w:tr>
      <w:tr w:rsidR="000769EC" w:rsidRPr="00B254CF" w:rsidTr="00CA2DD0">
        <w:tc>
          <w:tcPr>
            <w:tcW w:w="8170" w:type="dxa"/>
          </w:tcPr>
          <w:p w:rsidR="000769EC" w:rsidRPr="00B254CF" w:rsidRDefault="000769EC" w:rsidP="00CA2DD0">
            <w:pPr>
              <w:rPr>
                <w:rFonts w:cs="Arial"/>
              </w:rPr>
            </w:pPr>
            <w:proofErr w:type="spellStart"/>
            <w:r w:rsidRPr="00B254CF">
              <w:rPr>
                <w:rFonts w:cs="Arial"/>
              </w:rPr>
              <w:t>indices</w:t>
            </w:r>
            <w:proofErr w:type="spellEnd"/>
            <w:r w:rsidRPr="00B254CF">
              <w:rPr>
                <w:rFonts w:cs="Arial"/>
              </w:rPr>
              <w:t xml:space="preserve"> in </w:t>
            </w:r>
            <w:proofErr w:type="spellStart"/>
            <w:r w:rsidRPr="00B254CF">
              <w:rPr>
                <w:rFonts w:cs="Arial"/>
              </w:rPr>
              <w:t>agriculture</w:t>
            </w:r>
            <w:proofErr w:type="spellEnd"/>
            <w:r w:rsidRPr="00B254CF">
              <w:rPr>
                <w:rFonts w:cs="Arial"/>
              </w:rPr>
              <w:t xml:space="preserve"> in </w:t>
            </w:r>
            <w:proofErr w:type="spellStart"/>
            <w:r w:rsidRPr="00B254CF">
              <w:rPr>
                <w:rFonts w:cs="Arial"/>
              </w:rPr>
              <w:t>total</w:t>
            </w:r>
            <w:proofErr w:type="spellEnd"/>
          </w:p>
        </w:tc>
        <w:tc>
          <w:tcPr>
            <w:tcW w:w="1620" w:type="dxa"/>
          </w:tcPr>
          <w:p w:rsidR="000769EC" w:rsidRPr="00B254CF" w:rsidRDefault="000769EC" w:rsidP="00CA2DD0">
            <w:pPr>
              <w:jc w:val="center"/>
              <w:rPr>
                <w:rFonts w:cs="Arial"/>
              </w:rPr>
            </w:pPr>
          </w:p>
        </w:tc>
      </w:tr>
      <w:tr w:rsidR="000769EC" w:rsidRPr="00B254CF" w:rsidTr="00CA2DD0">
        <w:tc>
          <w:tcPr>
            <w:tcW w:w="8170" w:type="dxa"/>
          </w:tcPr>
          <w:p w:rsidR="000769EC" w:rsidRPr="00B254CF" w:rsidRDefault="000769EC" w:rsidP="00CA2DD0">
            <w:pPr>
              <w:rPr>
                <w:rFonts w:cs="Arial"/>
              </w:rPr>
            </w:pPr>
          </w:p>
        </w:tc>
        <w:tc>
          <w:tcPr>
            <w:tcW w:w="1620" w:type="dxa"/>
          </w:tcPr>
          <w:p w:rsidR="000769EC" w:rsidRPr="00B254CF" w:rsidRDefault="000769EC" w:rsidP="00CA2DD0">
            <w:pPr>
              <w:jc w:val="center"/>
              <w:rPr>
                <w:rFonts w:cs="Arial"/>
              </w:rPr>
            </w:pPr>
          </w:p>
        </w:tc>
      </w:tr>
      <w:tr w:rsidR="000769EC" w:rsidRPr="00B254CF" w:rsidTr="00CA2DD0">
        <w:tc>
          <w:tcPr>
            <w:tcW w:w="8170" w:type="dxa"/>
          </w:tcPr>
          <w:p w:rsidR="000769EC" w:rsidRPr="00B254CF" w:rsidRDefault="000769EC" w:rsidP="00CA2DD0">
            <w:pPr>
              <w:rPr>
                <w:rFonts w:cs="Arial"/>
              </w:rPr>
            </w:pPr>
            <w:r w:rsidRPr="00B254CF">
              <w:rPr>
                <w:rFonts w:cs="Arial"/>
              </w:rPr>
              <w:t xml:space="preserve">Indexy cien poľnohospodárskych výrobkov / </w:t>
            </w:r>
            <w:proofErr w:type="spellStart"/>
            <w:r w:rsidRPr="00B254CF">
              <w:rPr>
                <w:rFonts w:cs="Arial"/>
              </w:rPr>
              <w:t>Producer</w:t>
            </w:r>
            <w:proofErr w:type="spellEnd"/>
            <w:r w:rsidRPr="00B254CF">
              <w:rPr>
                <w:rFonts w:cs="Arial"/>
              </w:rPr>
              <w:t xml:space="preserve"> </w:t>
            </w:r>
            <w:proofErr w:type="spellStart"/>
            <w:r w:rsidRPr="00B254CF">
              <w:rPr>
                <w:rFonts w:cs="Arial"/>
              </w:rPr>
              <w:t>price</w:t>
            </w:r>
            <w:proofErr w:type="spellEnd"/>
            <w:r w:rsidRPr="00B254CF">
              <w:rPr>
                <w:rFonts w:cs="Arial"/>
              </w:rPr>
              <w:t xml:space="preserve"> </w:t>
            </w:r>
            <w:proofErr w:type="spellStart"/>
            <w:r w:rsidRPr="00B254CF">
              <w:rPr>
                <w:rFonts w:cs="Arial"/>
              </w:rPr>
              <w:t>indices</w:t>
            </w:r>
            <w:proofErr w:type="spellEnd"/>
          </w:p>
        </w:tc>
        <w:tc>
          <w:tcPr>
            <w:tcW w:w="1620" w:type="dxa"/>
          </w:tcPr>
          <w:p w:rsidR="000769EC" w:rsidRPr="00B254CF" w:rsidRDefault="000769EC" w:rsidP="00CA2DD0">
            <w:pPr>
              <w:jc w:val="center"/>
              <w:rPr>
                <w:rFonts w:cs="Arial"/>
              </w:rPr>
            </w:pPr>
          </w:p>
        </w:tc>
      </w:tr>
      <w:tr w:rsidR="000769EC" w:rsidRPr="00B254CF" w:rsidTr="00CA2DD0">
        <w:tc>
          <w:tcPr>
            <w:tcW w:w="8170" w:type="dxa"/>
          </w:tcPr>
          <w:p w:rsidR="000769EC" w:rsidRPr="00B254CF" w:rsidRDefault="000769EC" w:rsidP="00CA2DD0">
            <w:pPr>
              <w:rPr>
                <w:rFonts w:cs="Arial"/>
              </w:rPr>
            </w:pPr>
            <w:r w:rsidRPr="00B254CF">
              <w:rPr>
                <w:rFonts w:cs="Arial"/>
              </w:rPr>
              <w:t xml:space="preserve">of </w:t>
            </w:r>
            <w:proofErr w:type="spellStart"/>
            <w:r w:rsidRPr="00B254CF">
              <w:rPr>
                <w:rFonts w:cs="Arial"/>
              </w:rPr>
              <w:t>agricultural</w:t>
            </w:r>
            <w:proofErr w:type="spellEnd"/>
            <w:r w:rsidRPr="00B254CF">
              <w:rPr>
                <w:rFonts w:cs="Arial"/>
              </w:rPr>
              <w:t xml:space="preserve"> </w:t>
            </w:r>
            <w:proofErr w:type="spellStart"/>
            <w:r w:rsidRPr="00B254CF">
              <w:rPr>
                <w:rFonts w:cs="Arial"/>
              </w:rPr>
              <w:t>products</w:t>
            </w:r>
            <w:proofErr w:type="spellEnd"/>
            <w:r w:rsidRPr="00B254CF">
              <w:rPr>
                <w:rFonts w:cs="Arial"/>
              </w:rPr>
              <w:t xml:space="preserve">                                                                                          </w:t>
            </w:r>
          </w:p>
        </w:tc>
        <w:tc>
          <w:tcPr>
            <w:tcW w:w="1620" w:type="dxa"/>
          </w:tcPr>
          <w:p w:rsidR="000769EC" w:rsidRPr="00B254CF" w:rsidRDefault="000769EC" w:rsidP="00CA2DD0">
            <w:pPr>
              <w:jc w:val="center"/>
              <w:rPr>
                <w:rFonts w:cs="Arial"/>
              </w:rPr>
            </w:pPr>
          </w:p>
        </w:tc>
      </w:tr>
      <w:tr w:rsidR="000769EC" w:rsidRPr="00B254CF" w:rsidTr="00CA2DD0">
        <w:tc>
          <w:tcPr>
            <w:tcW w:w="8170" w:type="dxa"/>
          </w:tcPr>
          <w:p w:rsidR="000769EC" w:rsidRPr="00B254CF" w:rsidRDefault="000769EC" w:rsidP="00CA2DD0">
            <w:pPr>
              <w:rPr>
                <w:rFonts w:cs="Arial"/>
              </w:rPr>
            </w:pPr>
            <w:r w:rsidRPr="00B254CF">
              <w:rPr>
                <w:rFonts w:cs="Arial"/>
              </w:rPr>
              <w:t xml:space="preserve">-  rok 2015 = 100 / </w:t>
            </w:r>
            <w:proofErr w:type="spellStart"/>
            <w:r w:rsidRPr="00B254CF">
              <w:rPr>
                <w:rFonts w:cs="Arial"/>
              </w:rPr>
              <w:t>year</w:t>
            </w:r>
            <w:proofErr w:type="spellEnd"/>
            <w:r w:rsidRPr="00B254CF">
              <w:rPr>
                <w:rFonts w:cs="Arial"/>
              </w:rPr>
              <w:t xml:space="preserve"> 2015= 100</w:t>
            </w:r>
          </w:p>
        </w:tc>
        <w:tc>
          <w:tcPr>
            <w:tcW w:w="1620" w:type="dxa"/>
          </w:tcPr>
          <w:p w:rsidR="000769EC" w:rsidRPr="00B254CF" w:rsidRDefault="000769EC" w:rsidP="00CA2DD0">
            <w:pPr>
              <w:rPr>
                <w:rFonts w:cs="Arial"/>
              </w:rPr>
            </w:pPr>
            <w:r w:rsidRPr="00B254CF">
              <w:rPr>
                <w:rFonts w:cs="Arial"/>
              </w:rPr>
              <w:t xml:space="preserve">       8 - 11</w:t>
            </w:r>
          </w:p>
        </w:tc>
      </w:tr>
      <w:tr w:rsidR="000769EC" w:rsidRPr="00B254CF" w:rsidTr="00CA2DD0">
        <w:tc>
          <w:tcPr>
            <w:tcW w:w="8170" w:type="dxa"/>
          </w:tcPr>
          <w:p w:rsidR="000769EC" w:rsidRPr="00B254CF" w:rsidRDefault="000769EC" w:rsidP="00CA2DD0">
            <w:pPr>
              <w:rPr>
                <w:rFonts w:cs="Arial"/>
              </w:rPr>
            </w:pPr>
            <w:r w:rsidRPr="00B254CF">
              <w:rPr>
                <w:rFonts w:cs="Arial"/>
              </w:rPr>
              <w:t xml:space="preserve">-  rovnaké obdobie predchádzajúceho roka = 100 / </w:t>
            </w:r>
            <w:proofErr w:type="spellStart"/>
            <w:r w:rsidRPr="00B254CF">
              <w:rPr>
                <w:rFonts w:cs="Arial"/>
              </w:rPr>
              <w:t>corresponding</w:t>
            </w:r>
            <w:proofErr w:type="spellEnd"/>
            <w:r w:rsidRPr="00B254CF">
              <w:rPr>
                <w:rFonts w:cs="Arial"/>
              </w:rPr>
              <w:t xml:space="preserve"> </w:t>
            </w:r>
            <w:proofErr w:type="spellStart"/>
            <w:r w:rsidRPr="00B254CF">
              <w:rPr>
                <w:rFonts w:cs="Arial"/>
              </w:rPr>
              <w:t>period</w:t>
            </w:r>
            <w:proofErr w:type="spellEnd"/>
            <w:r w:rsidRPr="00B254CF">
              <w:rPr>
                <w:rFonts w:cs="Arial"/>
              </w:rPr>
              <w:t xml:space="preserve">  </w:t>
            </w:r>
          </w:p>
        </w:tc>
        <w:tc>
          <w:tcPr>
            <w:tcW w:w="1620" w:type="dxa"/>
          </w:tcPr>
          <w:p w:rsidR="000769EC" w:rsidRPr="00B254CF" w:rsidRDefault="000769EC" w:rsidP="00CA2DD0">
            <w:pPr>
              <w:jc w:val="center"/>
              <w:rPr>
                <w:rFonts w:cs="Arial"/>
              </w:rPr>
            </w:pPr>
          </w:p>
        </w:tc>
      </w:tr>
      <w:tr w:rsidR="000769EC" w:rsidRPr="00B254CF" w:rsidTr="00CA2DD0">
        <w:tc>
          <w:tcPr>
            <w:tcW w:w="8170" w:type="dxa"/>
          </w:tcPr>
          <w:p w:rsidR="000769EC" w:rsidRPr="00B254CF" w:rsidRDefault="000769EC" w:rsidP="00CA2DD0">
            <w:pPr>
              <w:rPr>
                <w:rFonts w:cs="Arial"/>
              </w:rPr>
            </w:pPr>
            <w:r w:rsidRPr="00B254CF">
              <w:rPr>
                <w:rFonts w:cs="Arial"/>
              </w:rPr>
              <w:t xml:space="preserve">  of </w:t>
            </w:r>
            <w:proofErr w:type="spellStart"/>
            <w:r w:rsidRPr="00B254CF">
              <w:rPr>
                <w:rFonts w:cs="Arial"/>
              </w:rPr>
              <w:t>the</w:t>
            </w:r>
            <w:proofErr w:type="spellEnd"/>
            <w:r w:rsidRPr="00B254CF">
              <w:rPr>
                <w:rFonts w:cs="Arial"/>
              </w:rPr>
              <w:t xml:space="preserve"> </w:t>
            </w:r>
            <w:proofErr w:type="spellStart"/>
            <w:r w:rsidRPr="00B254CF">
              <w:rPr>
                <w:rFonts w:cs="Arial"/>
              </w:rPr>
              <w:t>previous</w:t>
            </w:r>
            <w:proofErr w:type="spellEnd"/>
            <w:r w:rsidRPr="00B254CF">
              <w:rPr>
                <w:rFonts w:cs="Arial"/>
              </w:rPr>
              <w:t xml:space="preserve"> </w:t>
            </w:r>
            <w:proofErr w:type="spellStart"/>
            <w:r w:rsidRPr="00B254CF">
              <w:rPr>
                <w:rFonts w:cs="Arial"/>
              </w:rPr>
              <w:t>year</w:t>
            </w:r>
            <w:proofErr w:type="spellEnd"/>
            <w:r w:rsidRPr="00B254CF">
              <w:rPr>
                <w:rFonts w:cs="Arial"/>
              </w:rPr>
              <w:t xml:space="preserve"> = 100</w:t>
            </w:r>
          </w:p>
        </w:tc>
        <w:tc>
          <w:tcPr>
            <w:tcW w:w="1620" w:type="dxa"/>
          </w:tcPr>
          <w:p w:rsidR="000769EC" w:rsidRPr="00B254CF" w:rsidRDefault="000769EC" w:rsidP="00CA2DD0">
            <w:pPr>
              <w:rPr>
                <w:rFonts w:cs="Arial"/>
              </w:rPr>
            </w:pPr>
            <w:r w:rsidRPr="00B254CF">
              <w:rPr>
                <w:rFonts w:cs="Arial"/>
              </w:rPr>
              <w:t xml:space="preserve">     12 - 15</w:t>
            </w:r>
          </w:p>
        </w:tc>
      </w:tr>
      <w:tr w:rsidR="000769EC" w:rsidRPr="00B254CF" w:rsidTr="00CA2DD0">
        <w:tc>
          <w:tcPr>
            <w:tcW w:w="8170" w:type="dxa"/>
          </w:tcPr>
          <w:p w:rsidR="000769EC" w:rsidRPr="00B254CF" w:rsidRDefault="000769EC" w:rsidP="00CA2DD0">
            <w:pPr>
              <w:rPr>
                <w:rFonts w:cs="Arial"/>
              </w:rPr>
            </w:pPr>
          </w:p>
        </w:tc>
        <w:tc>
          <w:tcPr>
            <w:tcW w:w="1620" w:type="dxa"/>
          </w:tcPr>
          <w:p w:rsidR="000769EC" w:rsidRPr="00B254CF" w:rsidRDefault="000769EC" w:rsidP="00CA2DD0">
            <w:pPr>
              <w:jc w:val="center"/>
              <w:rPr>
                <w:rFonts w:cs="Arial"/>
              </w:rPr>
            </w:pPr>
          </w:p>
        </w:tc>
      </w:tr>
      <w:tr w:rsidR="000769EC" w:rsidRPr="00B254CF" w:rsidTr="00CA2DD0">
        <w:tc>
          <w:tcPr>
            <w:tcW w:w="8170" w:type="dxa"/>
          </w:tcPr>
          <w:p w:rsidR="000769EC" w:rsidRPr="00B254CF" w:rsidRDefault="000769EC" w:rsidP="00CA2DD0">
            <w:pPr>
              <w:rPr>
                <w:rFonts w:cs="Arial"/>
              </w:rPr>
            </w:pPr>
            <w:r w:rsidRPr="00B254CF">
              <w:rPr>
                <w:rFonts w:cs="Arial"/>
              </w:rPr>
              <w:t xml:space="preserve">Ceny poľnohospodárskych výrobkov / </w:t>
            </w:r>
            <w:proofErr w:type="spellStart"/>
            <w:r w:rsidRPr="00B254CF">
              <w:rPr>
                <w:rFonts w:cs="Arial"/>
              </w:rPr>
              <w:t>Producer</w:t>
            </w:r>
            <w:proofErr w:type="spellEnd"/>
            <w:r w:rsidRPr="00B254CF">
              <w:rPr>
                <w:rFonts w:cs="Arial"/>
              </w:rPr>
              <w:t xml:space="preserve"> </w:t>
            </w:r>
            <w:proofErr w:type="spellStart"/>
            <w:r w:rsidRPr="00B254CF">
              <w:rPr>
                <w:rFonts w:cs="Arial"/>
              </w:rPr>
              <w:t>prices</w:t>
            </w:r>
            <w:proofErr w:type="spellEnd"/>
            <w:r w:rsidRPr="00B254CF">
              <w:rPr>
                <w:rFonts w:cs="Arial"/>
              </w:rPr>
              <w:t xml:space="preserve"> of </w:t>
            </w:r>
            <w:proofErr w:type="spellStart"/>
            <w:r w:rsidRPr="00B254CF">
              <w:rPr>
                <w:rFonts w:cs="Arial"/>
              </w:rPr>
              <w:t>agricultural</w:t>
            </w:r>
            <w:proofErr w:type="spellEnd"/>
          </w:p>
        </w:tc>
        <w:tc>
          <w:tcPr>
            <w:tcW w:w="1620" w:type="dxa"/>
          </w:tcPr>
          <w:p w:rsidR="000769EC" w:rsidRPr="00B254CF" w:rsidRDefault="000769EC" w:rsidP="00CA2DD0">
            <w:pPr>
              <w:jc w:val="center"/>
              <w:rPr>
                <w:rFonts w:cs="Arial"/>
              </w:rPr>
            </w:pPr>
          </w:p>
        </w:tc>
      </w:tr>
      <w:tr w:rsidR="000769EC" w:rsidRPr="00B254CF" w:rsidTr="00CA2DD0">
        <w:tc>
          <w:tcPr>
            <w:tcW w:w="8170" w:type="dxa"/>
          </w:tcPr>
          <w:p w:rsidR="000769EC" w:rsidRPr="00B254CF" w:rsidRDefault="000769EC" w:rsidP="00CA2DD0">
            <w:pPr>
              <w:rPr>
                <w:rFonts w:cs="Arial"/>
              </w:rPr>
            </w:pPr>
            <w:proofErr w:type="spellStart"/>
            <w:r w:rsidRPr="00B254CF">
              <w:rPr>
                <w:rFonts w:cs="Arial"/>
              </w:rPr>
              <w:t>products</w:t>
            </w:r>
            <w:proofErr w:type="spellEnd"/>
          </w:p>
        </w:tc>
        <w:tc>
          <w:tcPr>
            <w:tcW w:w="1620" w:type="dxa"/>
          </w:tcPr>
          <w:p w:rsidR="000769EC" w:rsidRPr="00B254CF" w:rsidRDefault="000769EC" w:rsidP="00CA2DD0">
            <w:pPr>
              <w:rPr>
                <w:rFonts w:cs="Arial"/>
              </w:rPr>
            </w:pPr>
            <w:r w:rsidRPr="00B254CF">
              <w:rPr>
                <w:rFonts w:cs="Arial"/>
              </w:rPr>
              <w:t xml:space="preserve">     16 - 18</w:t>
            </w:r>
          </w:p>
        </w:tc>
      </w:tr>
      <w:tr w:rsidR="000769EC" w:rsidRPr="00B254CF" w:rsidTr="00CA2DD0">
        <w:tc>
          <w:tcPr>
            <w:tcW w:w="8170" w:type="dxa"/>
          </w:tcPr>
          <w:p w:rsidR="000769EC" w:rsidRPr="00B254CF" w:rsidRDefault="000769EC" w:rsidP="00CA2DD0">
            <w:pPr>
              <w:rPr>
                <w:rFonts w:cs="Arial"/>
              </w:rPr>
            </w:pPr>
          </w:p>
        </w:tc>
        <w:tc>
          <w:tcPr>
            <w:tcW w:w="1620" w:type="dxa"/>
          </w:tcPr>
          <w:p w:rsidR="000769EC" w:rsidRPr="00B254CF" w:rsidRDefault="000769EC" w:rsidP="00CA2DD0">
            <w:pPr>
              <w:jc w:val="center"/>
              <w:rPr>
                <w:rFonts w:cs="Arial"/>
              </w:rPr>
            </w:pPr>
          </w:p>
        </w:tc>
      </w:tr>
      <w:tr w:rsidR="000769EC" w:rsidRPr="00B254CF" w:rsidTr="00CA2DD0">
        <w:tc>
          <w:tcPr>
            <w:tcW w:w="8170" w:type="dxa"/>
          </w:tcPr>
          <w:p w:rsidR="000769EC" w:rsidRPr="00B254CF" w:rsidRDefault="000769EC" w:rsidP="00CA2DD0">
            <w:pPr>
              <w:rPr>
                <w:rFonts w:cs="Arial"/>
              </w:rPr>
            </w:pPr>
            <w:r w:rsidRPr="00B254CF">
              <w:rPr>
                <w:rFonts w:cs="Arial"/>
              </w:rPr>
              <w:t>Ceny poľnohospodárskych výrobkov podľa krajov</w:t>
            </w:r>
          </w:p>
        </w:tc>
        <w:tc>
          <w:tcPr>
            <w:tcW w:w="1620" w:type="dxa"/>
          </w:tcPr>
          <w:p w:rsidR="000769EC" w:rsidRPr="00B254CF" w:rsidRDefault="000769EC" w:rsidP="00CA2DD0">
            <w:pPr>
              <w:rPr>
                <w:rFonts w:cs="Arial"/>
              </w:rPr>
            </w:pPr>
            <w:r w:rsidRPr="00B254CF">
              <w:rPr>
                <w:rFonts w:cs="Arial"/>
              </w:rPr>
              <w:t xml:space="preserve">     19 - 22</w:t>
            </w:r>
          </w:p>
        </w:tc>
      </w:tr>
      <w:tr w:rsidR="000769EC" w:rsidRPr="00B254CF" w:rsidTr="00CA2DD0">
        <w:tc>
          <w:tcPr>
            <w:tcW w:w="8170" w:type="dxa"/>
          </w:tcPr>
          <w:p w:rsidR="000769EC" w:rsidRPr="00B254CF" w:rsidRDefault="000769EC" w:rsidP="00CA2DD0">
            <w:pPr>
              <w:rPr>
                <w:rFonts w:cs="Arial"/>
              </w:rPr>
            </w:pPr>
          </w:p>
        </w:tc>
        <w:tc>
          <w:tcPr>
            <w:tcW w:w="1620" w:type="dxa"/>
          </w:tcPr>
          <w:p w:rsidR="000769EC" w:rsidRPr="00B254CF" w:rsidRDefault="000769EC" w:rsidP="00CA2DD0">
            <w:pPr>
              <w:jc w:val="center"/>
              <w:rPr>
                <w:rFonts w:cs="Arial"/>
              </w:rPr>
            </w:pPr>
          </w:p>
        </w:tc>
      </w:tr>
      <w:tr w:rsidR="000769EC" w:rsidRPr="00B254CF" w:rsidTr="00CA2DD0">
        <w:tc>
          <w:tcPr>
            <w:tcW w:w="8170" w:type="dxa"/>
          </w:tcPr>
          <w:p w:rsidR="000769EC" w:rsidRPr="00B254CF" w:rsidRDefault="000769EC" w:rsidP="00CA2DD0">
            <w:pPr>
              <w:rPr>
                <w:rFonts w:cs="Arial"/>
              </w:rPr>
            </w:pPr>
            <w:r w:rsidRPr="00B254CF">
              <w:rPr>
                <w:rFonts w:cs="Arial"/>
              </w:rPr>
              <w:t xml:space="preserve">Indexy priemerných hodnôt poľnohospodárskych výrobkov / </w:t>
            </w:r>
            <w:proofErr w:type="spellStart"/>
            <w:r w:rsidRPr="00B254CF">
              <w:rPr>
                <w:rFonts w:cs="Arial"/>
              </w:rPr>
              <w:t>Indices</w:t>
            </w:r>
            <w:proofErr w:type="spellEnd"/>
            <w:r w:rsidRPr="00B254CF">
              <w:rPr>
                <w:rFonts w:cs="Arial"/>
              </w:rPr>
              <w:t xml:space="preserve"> of</w:t>
            </w:r>
          </w:p>
        </w:tc>
        <w:tc>
          <w:tcPr>
            <w:tcW w:w="1620" w:type="dxa"/>
          </w:tcPr>
          <w:p w:rsidR="000769EC" w:rsidRPr="00B254CF" w:rsidRDefault="000769EC" w:rsidP="00CA2DD0">
            <w:pPr>
              <w:jc w:val="center"/>
              <w:rPr>
                <w:rFonts w:cs="Arial"/>
              </w:rPr>
            </w:pPr>
          </w:p>
        </w:tc>
      </w:tr>
      <w:tr w:rsidR="000769EC" w:rsidRPr="00B254CF" w:rsidTr="00CA2DD0">
        <w:tc>
          <w:tcPr>
            <w:tcW w:w="8170" w:type="dxa"/>
          </w:tcPr>
          <w:p w:rsidR="000769EC" w:rsidRPr="00B254CF" w:rsidRDefault="000769EC" w:rsidP="00CA2DD0">
            <w:pPr>
              <w:rPr>
                <w:rFonts w:cs="Arial"/>
              </w:rPr>
            </w:pPr>
            <w:proofErr w:type="spellStart"/>
            <w:r w:rsidRPr="00B254CF">
              <w:rPr>
                <w:rFonts w:cs="Arial"/>
              </w:rPr>
              <w:t>average</w:t>
            </w:r>
            <w:proofErr w:type="spellEnd"/>
            <w:r w:rsidRPr="00B254CF">
              <w:rPr>
                <w:rFonts w:cs="Arial"/>
              </w:rPr>
              <w:t xml:space="preserve"> </w:t>
            </w:r>
            <w:proofErr w:type="spellStart"/>
            <w:r w:rsidRPr="00B254CF">
              <w:rPr>
                <w:rFonts w:cs="Arial"/>
              </w:rPr>
              <w:t>sale</w:t>
            </w:r>
            <w:proofErr w:type="spellEnd"/>
            <w:r w:rsidRPr="00B254CF">
              <w:rPr>
                <w:rFonts w:cs="Arial"/>
              </w:rPr>
              <w:t xml:space="preserve"> </w:t>
            </w:r>
            <w:proofErr w:type="spellStart"/>
            <w:r w:rsidRPr="00B254CF">
              <w:rPr>
                <w:rFonts w:cs="Arial"/>
              </w:rPr>
              <w:t>values</w:t>
            </w:r>
            <w:proofErr w:type="spellEnd"/>
            <w:r w:rsidRPr="00B254CF">
              <w:rPr>
                <w:rFonts w:cs="Arial"/>
              </w:rPr>
              <w:t xml:space="preserve"> of </w:t>
            </w:r>
            <w:proofErr w:type="spellStart"/>
            <w:r w:rsidRPr="00B254CF">
              <w:rPr>
                <w:rFonts w:cs="Arial"/>
              </w:rPr>
              <w:t>agricultural</w:t>
            </w:r>
            <w:proofErr w:type="spellEnd"/>
            <w:r w:rsidRPr="00B254CF">
              <w:rPr>
                <w:rFonts w:cs="Arial"/>
              </w:rPr>
              <w:t xml:space="preserve">  </w:t>
            </w:r>
            <w:proofErr w:type="spellStart"/>
            <w:r w:rsidRPr="00B254CF">
              <w:rPr>
                <w:rFonts w:cs="Arial"/>
              </w:rPr>
              <w:t>products</w:t>
            </w:r>
            <w:proofErr w:type="spellEnd"/>
          </w:p>
        </w:tc>
        <w:tc>
          <w:tcPr>
            <w:tcW w:w="1620" w:type="dxa"/>
          </w:tcPr>
          <w:p w:rsidR="000769EC" w:rsidRPr="00B254CF" w:rsidRDefault="000769EC" w:rsidP="00CA2DD0">
            <w:pPr>
              <w:jc w:val="center"/>
              <w:rPr>
                <w:rFonts w:cs="Arial"/>
              </w:rPr>
            </w:pPr>
          </w:p>
        </w:tc>
      </w:tr>
      <w:tr w:rsidR="000769EC" w:rsidRPr="00B254CF" w:rsidTr="00CA2DD0">
        <w:tc>
          <w:tcPr>
            <w:tcW w:w="8170" w:type="dxa"/>
          </w:tcPr>
          <w:p w:rsidR="000769EC" w:rsidRPr="00B254CF" w:rsidRDefault="000769EC" w:rsidP="00CA2DD0">
            <w:pPr>
              <w:rPr>
                <w:rFonts w:cs="Arial"/>
              </w:rPr>
            </w:pPr>
            <w:r w:rsidRPr="00B254CF">
              <w:rPr>
                <w:rFonts w:cs="Arial"/>
              </w:rPr>
              <w:t xml:space="preserve">- rok 2015 = 100 / </w:t>
            </w:r>
            <w:proofErr w:type="spellStart"/>
            <w:r w:rsidRPr="00B254CF">
              <w:rPr>
                <w:rFonts w:cs="Arial"/>
              </w:rPr>
              <w:t>year</w:t>
            </w:r>
            <w:proofErr w:type="spellEnd"/>
            <w:r w:rsidRPr="00B254CF">
              <w:rPr>
                <w:rFonts w:cs="Arial"/>
              </w:rPr>
              <w:t xml:space="preserve"> 2015 = 100</w:t>
            </w:r>
          </w:p>
        </w:tc>
        <w:tc>
          <w:tcPr>
            <w:tcW w:w="1620" w:type="dxa"/>
          </w:tcPr>
          <w:p w:rsidR="000769EC" w:rsidRPr="00B254CF" w:rsidRDefault="000769EC" w:rsidP="00CA2DD0">
            <w:pPr>
              <w:rPr>
                <w:rFonts w:cs="Arial"/>
              </w:rPr>
            </w:pPr>
            <w:r w:rsidRPr="00B254CF">
              <w:rPr>
                <w:rFonts w:cs="Arial"/>
              </w:rPr>
              <w:t xml:space="preserve">     23 - 26</w:t>
            </w:r>
          </w:p>
        </w:tc>
      </w:tr>
      <w:tr w:rsidR="000769EC" w:rsidRPr="00B254CF" w:rsidTr="00CA2DD0">
        <w:tc>
          <w:tcPr>
            <w:tcW w:w="8170" w:type="dxa"/>
          </w:tcPr>
          <w:p w:rsidR="000769EC" w:rsidRPr="00B254CF" w:rsidRDefault="000769EC" w:rsidP="00CA2DD0">
            <w:pPr>
              <w:rPr>
                <w:rFonts w:cs="Arial"/>
              </w:rPr>
            </w:pPr>
            <w:r w:rsidRPr="00B254CF">
              <w:rPr>
                <w:rFonts w:cs="Arial"/>
              </w:rPr>
              <w:t xml:space="preserve">- rovnaké obdobie predchádzajúceho roka = 100 / </w:t>
            </w:r>
            <w:proofErr w:type="spellStart"/>
            <w:r w:rsidRPr="00B254CF">
              <w:rPr>
                <w:rFonts w:cs="Arial"/>
              </w:rPr>
              <w:t>corresponding</w:t>
            </w:r>
            <w:proofErr w:type="spellEnd"/>
            <w:r w:rsidRPr="00B254CF">
              <w:rPr>
                <w:rFonts w:cs="Arial"/>
              </w:rPr>
              <w:t xml:space="preserve"> </w:t>
            </w:r>
            <w:proofErr w:type="spellStart"/>
            <w:r w:rsidRPr="00B254CF">
              <w:rPr>
                <w:rFonts w:cs="Arial"/>
              </w:rPr>
              <w:t>period</w:t>
            </w:r>
            <w:proofErr w:type="spellEnd"/>
          </w:p>
        </w:tc>
        <w:tc>
          <w:tcPr>
            <w:tcW w:w="1620" w:type="dxa"/>
          </w:tcPr>
          <w:p w:rsidR="000769EC" w:rsidRPr="00B254CF" w:rsidRDefault="000769EC" w:rsidP="00CA2DD0">
            <w:pPr>
              <w:jc w:val="center"/>
              <w:rPr>
                <w:rFonts w:cs="Arial"/>
              </w:rPr>
            </w:pPr>
          </w:p>
        </w:tc>
      </w:tr>
      <w:tr w:rsidR="000769EC" w:rsidRPr="00B254CF" w:rsidTr="00CA2DD0">
        <w:tc>
          <w:tcPr>
            <w:tcW w:w="8170" w:type="dxa"/>
          </w:tcPr>
          <w:p w:rsidR="000769EC" w:rsidRPr="00B254CF" w:rsidRDefault="000769EC" w:rsidP="00CA2DD0">
            <w:pPr>
              <w:rPr>
                <w:rFonts w:cs="Arial"/>
              </w:rPr>
            </w:pPr>
            <w:r w:rsidRPr="00B254CF">
              <w:rPr>
                <w:rFonts w:cs="Arial"/>
              </w:rPr>
              <w:t xml:space="preserve">  of </w:t>
            </w:r>
            <w:proofErr w:type="spellStart"/>
            <w:r w:rsidRPr="00B254CF">
              <w:rPr>
                <w:rFonts w:cs="Arial"/>
              </w:rPr>
              <w:t>the</w:t>
            </w:r>
            <w:proofErr w:type="spellEnd"/>
            <w:r w:rsidRPr="00B254CF">
              <w:rPr>
                <w:rFonts w:cs="Arial"/>
              </w:rPr>
              <w:t xml:space="preserve"> </w:t>
            </w:r>
            <w:proofErr w:type="spellStart"/>
            <w:r w:rsidRPr="00B254CF">
              <w:rPr>
                <w:rFonts w:cs="Arial"/>
              </w:rPr>
              <w:t>previous</w:t>
            </w:r>
            <w:proofErr w:type="spellEnd"/>
            <w:r w:rsidRPr="00B254CF">
              <w:rPr>
                <w:rFonts w:cs="Arial"/>
              </w:rPr>
              <w:t xml:space="preserve"> </w:t>
            </w:r>
            <w:proofErr w:type="spellStart"/>
            <w:r w:rsidRPr="00B254CF">
              <w:rPr>
                <w:rFonts w:cs="Arial"/>
              </w:rPr>
              <w:t>year</w:t>
            </w:r>
            <w:proofErr w:type="spellEnd"/>
            <w:r w:rsidRPr="00B254CF">
              <w:rPr>
                <w:rFonts w:cs="Arial"/>
              </w:rPr>
              <w:t xml:space="preserve"> = 100</w:t>
            </w:r>
          </w:p>
        </w:tc>
        <w:tc>
          <w:tcPr>
            <w:tcW w:w="1620" w:type="dxa"/>
          </w:tcPr>
          <w:p w:rsidR="000769EC" w:rsidRPr="00B254CF" w:rsidRDefault="000769EC" w:rsidP="00CA2DD0">
            <w:pPr>
              <w:rPr>
                <w:rFonts w:cs="Arial"/>
              </w:rPr>
            </w:pPr>
            <w:r w:rsidRPr="00B254CF">
              <w:rPr>
                <w:rFonts w:cs="Arial"/>
              </w:rPr>
              <w:t xml:space="preserve">     27 - 30</w:t>
            </w:r>
          </w:p>
        </w:tc>
      </w:tr>
      <w:tr w:rsidR="000769EC" w:rsidRPr="00B254CF" w:rsidTr="00CA2DD0">
        <w:tc>
          <w:tcPr>
            <w:tcW w:w="8170" w:type="dxa"/>
          </w:tcPr>
          <w:p w:rsidR="000769EC" w:rsidRPr="00B254CF" w:rsidRDefault="000769EC" w:rsidP="00CA2DD0">
            <w:pPr>
              <w:rPr>
                <w:rFonts w:cs="Arial"/>
              </w:rPr>
            </w:pPr>
          </w:p>
        </w:tc>
        <w:tc>
          <w:tcPr>
            <w:tcW w:w="1620" w:type="dxa"/>
          </w:tcPr>
          <w:p w:rsidR="000769EC" w:rsidRPr="00B254CF" w:rsidRDefault="000769EC" w:rsidP="00CA2DD0">
            <w:pPr>
              <w:jc w:val="center"/>
              <w:rPr>
                <w:rFonts w:cs="Arial"/>
              </w:rPr>
            </w:pPr>
          </w:p>
        </w:tc>
      </w:tr>
      <w:tr w:rsidR="000769EC" w:rsidRPr="00B254CF" w:rsidTr="00CA2DD0">
        <w:tc>
          <w:tcPr>
            <w:tcW w:w="8170" w:type="dxa"/>
          </w:tcPr>
          <w:p w:rsidR="000769EC" w:rsidRPr="00B254CF" w:rsidRDefault="000769EC" w:rsidP="00CA2DD0">
            <w:pPr>
              <w:rPr>
                <w:rFonts w:cs="Arial"/>
              </w:rPr>
            </w:pPr>
            <w:r w:rsidRPr="00B254CF">
              <w:rPr>
                <w:rFonts w:cs="Arial"/>
              </w:rPr>
              <w:t xml:space="preserve">Priemerné hodnoty  predaja poľnohospodárskych výrobkov / </w:t>
            </w:r>
            <w:proofErr w:type="spellStart"/>
            <w:r w:rsidRPr="00B254CF">
              <w:rPr>
                <w:rFonts w:cs="Arial"/>
              </w:rPr>
              <w:t>Average</w:t>
            </w:r>
            <w:proofErr w:type="spellEnd"/>
            <w:r w:rsidRPr="00B254CF">
              <w:rPr>
                <w:rFonts w:cs="Arial"/>
              </w:rPr>
              <w:t xml:space="preserve"> </w:t>
            </w:r>
            <w:proofErr w:type="spellStart"/>
            <w:r w:rsidRPr="00B254CF">
              <w:rPr>
                <w:rFonts w:cs="Arial"/>
              </w:rPr>
              <w:t>sale</w:t>
            </w:r>
            <w:proofErr w:type="spellEnd"/>
          </w:p>
        </w:tc>
        <w:tc>
          <w:tcPr>
            <w:tcW w:w="1620" w:type="dxa"/>
          </w:tcPr>
          <w:p w:rsidR="000769EC" w:rsidRPr="00B254CF" w:rsidRDefault="000769EC" w:rsidP="00CA2DD0">
            <w:pPr>
              <w:jc w:val="center"/>
              <w:rPr>
                <w:rFonts w:cs="Arial"/>
              </w:rPr>
            </w:pPr>
          </w:p>
        </w:tc>
      </w:tr>
      <w:tr w:rsidR="000769EC" w:rsidRPr="00B254CF" w:rsidTr="00CA2DD0">
        <w:tc>
          <w:tcPr>
            <w:tcW w:w="8170" w:type="dxa"/>
          </w:tcPr>
          <w:p w:rsidR="000769EC" w:rsidRPr="00B254CF" w:rsidRDefault="000769EC" w:rsidP="00CA2DD0">
            <w:pPr>
              <w:rPr>
                <w:rFonts w:cs="Arial"/>
              </w:rPr>
            </w:pPr>
            <w:proofErr w:type="spellStart"/>
            <w:r w:rsidRPr="00B254CF">
              <w:rPr>
                <w:rFonts w:cs="Arial"/>
              </w:rPr>
              <w:t>values</w:t>
            </w:r>
            <w:proofErr w:type="spellEnd"/>
            <w:r w:rsidRPr="00B254CF">
              <w:rPr>
                <w:rFonts w:cs="Arial"/>
              </w:rPr>
              <w:t xml:space="preserve"> of </w:t>
            </w:r>
            <w:proofErr w:type="spellStart"/>
            <w:r w:rsidRPr="00B254CF">
              <w:rPr>
                <w:rFonts w:cs="Arial"/>
              </w:rPr>
              <w:t>agricultural</w:t>
            </w:r>
            <w:proofErr w:type="spellEnd"/>
            <w:r w:rsidRPr="00B254CF">
              <w:rPr>
                <w:rFonts w:cs="Arial"/>
              </w:rPr>
              <w:t xml:space="preserve">  </w:t>
            </w:r>
            <w:proofErr w:type="spellStart"/>
            <w:r w:rsidRPr="00B254CF">
              <w:rPr>
                <w:rFonts w:cs="Arial"/>
              </w:rPr>
              <w:t>products</w:t>
            </w:r>
            <w:proofErr w:type="spellEnd"/>
          </w:p>
        </w:tc>
        <w:tc>
          <w:tcPr>
            <w:tcW w:w="1620" w:type="dxa"/>
          </w:tcPr>
          <w:p w:rsidR="000769EC" w:rsidRPr="00B254CF" w:rsidRDefault="000769EC" w:rsidP="00CA2DD0">
            <w:pPr>
              <w:rPr>
                <w:rFonts w:cs="Arial"/>
              </w:rPr>
            </w:pPr>
            <w:r w:rsidRPr="00B254CF">
              <w:rPr>
                <w:rFonts w:cs="Arial"/>
              </w:rPr>
              <w:t xml:space="preserve">     31 - 33</w:t>
            </w:r>
          </w:p>
        </w:tc>
      </w:tr>
      <w:tr w:rsidR="000769EC" w:rsidRPr="00B254CF" w:rsidTr="00CA2DD0">
        <w:tc>
          <w:tcPr>
            <w:tcW w:w="8170" w:type="dxa"/>
          </w:tcPr>
          <w:p w:rsidR="000769EC" w:rsidRPr="00B254CF" w:rsidRDefault="000769EC" w:rsidP="00CA2DD0">
            <w:pPr>
              <w:rPr>
                <w:rFonts w:cs="Arial"/>
              </w:rPr>
            </w:pPr>
          </w:p>
        </w:tc>
        <w:tc>
          <w:tcPr>
            <w:tcW w:w="1620" w:type="dxa"/>
          </w:tcPr>
          <w:p w:rsidR="000769EC" w:rsidRPr="00B254CF" w:rsidRDefault="000769EC" w:rsidP="00CA2DD0">
            <w:pPr>
              <w:jc w:val="center"/>
              <w:rPr>
                <w:rFonts w:cs="Arial"/>
              </w:rPr>
            </w:pPr>
          </w:p>
        </w:tc>
      </w:tr>
      <w:tr w:rsidR="000769EC" w:rsidRPr="00B254CF" w:rsidTr="00CA2DD0">
        <w:tc>
          <w:tcPr>
            <w:tcW w:w="8170" w:type="dxa"/>
          </w:tcPr>
          <w:p w:rsidR="000769EC" w:rsidRPr="00B254CF" w:rsidRDefault="000769EC" w:rsidP="00CA2DD0">
            <w:pPr>
              <w:ind w:right="-393"/>
              <w:rPr>
                <w:rFonts w:cs="Arial"/>
              </w:rPr>
            </w:pPr>
            <w:r w:rsidRPr="00B254CF">
              <w:rPr>
                <w:rFonts w:cs="Arial"/>
              </w:rPr>
              <w:t xml:space="preserve">Priemerné hodnoty predaja poľnohospodárskych výrobkov podľa krajov                        </w:t>
            </w:r>
          </w:p>
        </w:tc>
        <w:tc>
          <w:tcPr>
            <w:tcW w:w="1620" w:type="dxa"/>
          </w:tcPr>
          <w:p w:rsidR="000769EC" w:rsidRPr="00B254CF" w:rsidRDefault="000769EC" w:rsidP="00CA2DD0">
            <w:pPr>
              <w:rPr>
                <w:rFonts w:cs="Arial"/>
              </w:rPr>
            </w:pPr>
            <w:r w:rsidRPr="00B254CF">
              <w:rPr>
                <w:rFonts w:cs="Arial"/>
              </w:rPr>
              <w:t xml:space="preserve">     34 - 37                                       </w:t>
            </w:r>
          </w:p>
        </w:tc>
      </w:tr>
      <w:tr w:rsidR="000769EC" w:rsidRPr="00B254CF" w:rsidTr="00CA2DD0">
        <w:tc>
          <w:tcPr>
            <w:tcW w:w="8170" w:type="dxa"/>
          </w:tcPr>
          <w:p w:rsidR="000769EC" w:rsidRPr="00B254CF" w:rsidRDefault="000769EC" w:rsidP="00CA2DD0">
            <w:pPr>
              <w:ind w:right="-393"/>
              <w:rPr>
                <w:rFonts w:cs="Arial"/>
              </w:rPr>
            </w:pPr>
          </w:p>
        </w:tc>
        <w:tc>
          <w:tcPr>
            <w:tcW w:w="1620" w:type="dxa"/>
          </w:tcPr>
          <w:p w:rsidR="000769EC" w:rsidRPr="00B254CF" w:rsidRDefault="000769EC" w:rsidP="00CA2DD0">
            <w:pPr>
              <w:rPr>
                <w:rFonts w:cs="Arial"/>
              </w:rPr>
            </w:pPr>
          </w:p>
        </w:tc>
      </w:tr>
      <w:tr w:rsidR="000769EC" w:rsidRPr="00B254CF" w:rsidTr="00CA2DD0">
        <w:tc>
          <w:tcPr>
            <w:tcW w:w="8170" w:type="dxa"/>
          </w:tcPr>
          <w:p w:rsidR="000769EC" w:rsidRPr="00B254CF" w:rsidRDefault="000769EC" w:rsidP="00066626">
            <w:pPr>
              <w:ind w:right="-393"/>
              <w:rPr>
                <w:rFonts w:cs="Arial"/>
              </w:rPr>
            </w:pPr>
            <w:r w:rsidRPr="00B254CF">
              <w:rPr>
                <w:rFonts w:cs="Arial"/>
              </w:rPr>
              <w:t xml:space="preserve">Indexy cien poľnohospodárskych výrobkov za </w:t>
            </w:r>
            <w:r w:rsidR="00066626">
              <w:rPr>
                <w:rFonts w:cs="Arial"/>
              </w:rPr>
              <w:t>4</w:t>
            </w:r>
            <w:r w:rsidRPr="00B254CF">
              <w:rPr>
                <w:rFonts w:cs="Arial"/>
              </w:rPr>
              <w:t xml:space="preserve">.štvrťrok 2019 / </w:t>
            </w:r>
            <w:proofErr w:type="spellStart"/>
            <w:r w:rsidRPr="00B254CF">
              <w:rPr>
                <w:rFonts w:cs="Arial"/>
              </w:rPr>
              <w:t>Producer</w:t>
            </w:r>
            <w:proofErr w:type="spellEnd"/>
          </w:p>
        </w:tc>
        <w:tc>
          <w:tcPr>
            <w:tcW w:w="1620" w:type="dxa"/>
          </w:tcPr>
          <w:p w:rsidR="000769EC" w:rsidRPr="00B254CF" w:rsidRDefault="000769EC" w:rsidP="00CA2DD0">
            <w:pPr>
              <w:rPr>
                <w:rFonts w:cs="Arial"/>
              </w:rPr>
            </w:pPr>
          </w:p>
        </w:tc>
      </w:tr>
      <w:tr w:rsidR="000769EC" w:rsidRPr="00B254CF" w:rsidTr="00CA2DD0">
        <w:tc>
          <w:tcPr>
            <w:tcW w:w="8170" w:type="dxa"/>
          </w:tcPr>
          <w:p w:rsidR="000769EC" w:rsidRPr="00B254CF" w:rsidRDefault="000769EC" w:rsidP="00066626">
            <w:pPr>
              <w:ind w:right="-393"/>
              <w:rPr>
                <w:rFonts w:cs="Arial"/>
              </w:rPr>
            </w:pPr>
            <w:proofErr w:type="spellStart"/>
            <w:r w:rsidRPr="00B254CF">
              <w:rPr>
                <w:rFonts w:cs="Arial"/>
              </w:rPr>
              <w:t>price</w:t>
            </w:r>
            <w:proofErr w:type="spellEnd"/>
            <w:r w:rsidRPr="00B254CF">
              <w:rPr>
                <w:rFonts w:cs="Arial"/>
              </w:rPr>
              <w:t xml:space="preserve"> </w:t>
            </w:r>
            <w:proofErr w:type="spellStart"/>
            <w:r w:rsidRPr="00B254CF">
              <w:rPr>
                <w:rFonts w:cs="Arial"/>
              </w:rPr>
              <w:t>indices</w:t>
            </w:r>
            <w:proofErr w:type="spellEnd"/>
            <w:r w:rsidRPr="00B254CF">
              <w:rPr>
                <w:rFonts w:cs="Arial"/>
              </w:rPr>
              <w:t xml:space="preserve"> in </w:t>
            </w:r>
            <w:proofErr w:type="spellStart"/>
            <w:r w:rsidRPr="00B254CF">
              <w:rPr>
                <w:rFonts w:cs="Arial"/>
              </w:rPr>
              <w:t>agriculture</w:t>
            </w:r>
            <w:proofErr w:type="spellEnd"/>
            <w:r w:rsidRPr="00B254CF">
              <w:rPr>
                <w:rFonts w:cs="Arial"/>
              </w:rPr>
              <w:t xml:space="preserve"> in </w:t>
            </w:r>
            <w:proofErr w:type="spellStart"/>
            <w:r w:rsidRPr="00B254CF">
              <w:rPr>
                <w:rFonts w:cs="Arial"/>
              </w:rPr>
              <w:t>the</w:t>
            </w:r>
            <w:proofErr w:type="spellEnd"/>
            <w:r w:rsidRPr="00B254CF">
              <w:rPr>
                <w:rFonts w:cs="Arial"/>
              </w:rPr>
              <w:t xml:space="preserve"> </w:t>
            </w:r>
            <w:r w:rsidR="00066626">
              <w:rPr>
                <w:rFonts w:cs="Arial"/>
              </w:rPr>
              <w:t>4</w:t>
            </w:r>
            <w:r w:rsidRPr="00B254CF">
              <w:rPr>
                <w:rFonts w:cs="Arial"/>
              </w:rPr>
              <w:t xml:space="preserve">.quarter of 2019                                                          </w:t>
            </w:r>
          </w:p>
        </w:tc>
        <w:tc>
          <w:tcPr>
            <w:tcW w:w="1620" w:type="dxa"/>
          </w:tcPr>
          <w:p w:rsidR="000769EC" w:rsidRPr="00B254CF" w:rsidRDefault="000769EC" w:rsidP="00CA2DD0">
            <w:pPr>
              <w:rPr>
                <w:rFonts w:cs="Arial"/>
              </w:rPr>
            </w:pPr>
          </w:p>
        </w:tc>
      </w:tr>
      <w:tr w:rsidR="000769EC" w:rsidRPr="00B254CF" w:rsidTr="00CA2DD0">
        <w:tc>
          <w:tcPr>
            <w:tcW w:w="8170" w:type="dxa"/>
          </w:tcPr>
          <w:p w:rsidR="000769EC" w:rsidRPr="00B254CF" w:rsidRDefault="000769EC" w:rsidP="00CA2DD0">
            <w:pPr>
              <w:spacing w:line="240" w:lineRule="exact"/>
              <w:rPr>
                <w:rFonts w:cs="Arial"/>
              </w:rPr>
            </w:pPr>
            <w:r w:rsidRPr="00B254CF">
              <w:rPr>
                <w:rFonts w:cs="Arial"/>
              </w:rPr>
              <w:t xml:space="preserve">-  rok 2015 = 100 / </w:t>
            </w:r>
            <w:proofErr w:type="spellStart"/>
            <w:r w:rsidRPr="00B254CF">
              <w:rPr>
                <w:rFonts w:cs="Arial"/>
              </w:rPr>
              <w:t>year</w:t>
            </w:r>
            <w:proofErr w:type="spellEnd"/>
            <w:r w:rsidRPr="00B254CF">
              <w:rPr>
                <w:rFonts w:cs="Arial"/>
              </w:rPr>
              <w:t xml:space="preserve"> 2010 = 100                                                                                  </w:t>
            </w:r>
          </w:p>
          <w:p w:rsidR="000769EC" w:rsidRPr="00B254CF" w:rsidRDefault="000769EC" w:rsidP="00CA2DD0">
            <w:pPr>
              <w:ind w:right="-393"/>
              <w:rPr>
                <w:rFonts w:cs="Arial"/>
              </w:rPr>
            </w:pPr>
            <w:r w:rsidRPr="00B254CF">
              <w:rPr>
                <w:rFonts w:cs="Arial"/>
              </w:rPr>
              <w:t xml:space="preserve">-  rovnaké obdobie predchádzajúceho roka = 100 / </w:t>
            </w:r>
            <w:proofErr w:type="spellStart"/>
            <w:r w:rsidRPr="00B254CF">
              <w:rPr>
                <w:rFonts w:cs="Arial"/>
              </w:rPr>
              <w:t>corresponding</w:t>
            </w:r>
            <w:proofErr w:type="spellEnd"/>
            <w:r w:rsidRPr="00B254CF">
              <w:rPr>
                <w:rFonts w:cs="Arial"/>
              </w:rPr>
              <w:t xml:space="preserve">  </w:t>
            </w:r>
            <w:proofErr w:type="spellStart"/>
            <w:r w:rsidRPr="00B254CF">
              <w:rPr>
                <w:rFonts w:cs="Arial"/>
              </w:rPr>
              <w:t>period</w:t>
            </w:r>
            <w:proofErr w:type="spellEnd"/>
            <w:r w:rsidRPr="00B254CF">
              <w:rPr>
                <w:rFonts w:cs="Arial"/>
              </w:rPr>
              <w:t xml:space="preserve">                                                                                                                                          </w:t>
            </w:r>
          </w:p>
        </w:tc>
        <w:tc>
          <w:tcPr>
            <w:tcW w:w="1620" w:type="dxa"/>
          </w:tcPr>
          <w:p w:rsidR="000769EC" w:rsidRPr="00B254CF" w:rsidRDefault="000769EC" w:rsidP="00CA2DD0">
            <w:pPr>
              <w:rPr>
                <w:rFonts w:cs="Arial"/>
              </w:rPr>
            </w:pPr>
            <w:r w:rsidRPr="00B254CF">
              <w:rPr>
                <w:rFonts w:cs="Arial"/>
              </w:rPr>
              <w:t xml:space="preserve">     38 - 42</w:t>
            </w:r>
          </w:p>
        </w:tc>
      </w:tr>
      <w:tr w:rsidR="000769EC" w:rsidRPr="00B254CF" w:rsidTr="00CA2DD0">
        <w:tc>
          <w:tcPr>
            <w:tcW w:w="8170" w:type="dxa"/>
          </w:tcPr>
          <w:p w:rsidR="000769EC" w:rsidRPr="00B254CF" w:rsidRDefault="000769EC" w:rsidP="00CA2DD0">
            <w:pPr>
              <w:ind w:right="-393"/>
              <w:rPr>
                <w:rFonts w:cs="Arial"/>
              </w:rPr>
            </w:pPr>
            <w:r w:rsidRPr="00B254CF">
              <w:rPr>
                <w:rFonts w:cs="Arial"/>
              </w:rPr>
              <w:t xml:space="preserve">of </w:t>
            </w:r>
            <w:proofErr w:type="spellStart"/>
            <w:r w:rsidRPr="00B254CF">
              <w:rPr>
                <w:rFonts w:cs="Arial"/>
              </w:rPr>
              <w:t>the</w:t>
            </w:r>
            <w:proofErr w:type="spellEnd"/>
            <w:r w:rsidRPr="00B254CF">
              <w:rPr>
                <w:rFonts w:cs="Arial"/>
              </w:rPr>
              <w:t xml:space="preserve"> </w:t>
            </w:r>
            <w:proofErr w:type="spellStart"/>
            <w:r w:rsidRPr="00B254CF">
              <w:rPr>
                <w:rFonts w:cs="Arial"/>
              </w:rPr>
              <w:t>previous</w:t>
            </w:r>
            <w:proofErr w:type="spellEnd"/>
            <w:r w:rsidRPr="00B254CF">
              <w:rPr>
                <w:rFonts w:cs="Arial"/>
              </w:rPr>
              <w:t xml:space="preserve"> </w:t>
            </w:r>
            <w:proofErr w:type="spellStart"/>
            <w:r w:rsidRPr="00B254CF">
              <w:rPr>
                <w:rFonts w:cs="Arial"/>
              </w:rPr>
              <w:t>year</w:t>
            </w:r>
            <w:proofErr w:type="spellEnd"/>
            <w:r w:rsidRPr="00B254CF">
              <w:rPr>
                <w:rFonts w:cs="Arial"/>
              </w:rPr>
              <w:t xml:space="preserve"> = 100                                                                                             </w:t>
            </w:r>
          </w:p>
        </w:tc>
        <w:tc>
          <w:tcPr>
            <w:tcW w:w="1620" w:type="dxa"/>
          </w:tcPr>
          <w:p w:rsidR="000769EC" w:rsidRPr="00B254CF" w:rsidRDefault="000769EC" w:rsidP="00CA2DD0">
            <w:pPr>
              <w:rPr>
                <w:rFonts w:cs="Arial"/>
              </w:rPr>
            </w:pPr>
            <w:r w:rsidRPr="00B254CF">
              <w:rPr>
                <w:rFonts w:cs="Arial"/>
              </w:rPr>
              <w:t xml:space="preserve">     43 - 46</w:t>
            </w:r>
          </w:p>
        </w:tc>
      </w:tr>
      <w:tr w:rsidR="000769EC" w:rsidRPr="00B254CF" w:rsidTr="00CA2DD0">
        <w:tc>
          <w:tcPr>
            <w:tcW w:w="8170" w:type="dxa"/>
          </w:tcPr>
          <w:p w:rsidR="000769EC" w:rsidRPr="00B254CF" w:rsidRDefault="000769EC" w:rsidP="00CA2DD0">
            <w:pPr>
              <w:ind w:right="-393"/>
              <w:rPr>
                <w:rFonts w:cs="Arial"/>
              </w:rPr>
            </w:pPr>
          </w:p>
        </w:tc>
        <w:tc>
          <w:tcPr>
            <w:tcW w:w="1620" w:type="dxa"/>
          </w:tcPr>
          <w:p w:rsidR="000769EC" w:rsidRPr="00B254CF" w:rsidRDefault="000769EC" w:rsidP="00CA2DD0">
            <w:pPr>
              <w:rPr>
                <w:rFonts w:cs="Arial"/>
              </w:rPr>
            </w:pPr>
          </w:p>
        </w:tc>
      </w:tr>
      <w:tr w:rsidR="000769EC" w:rsidRPr="00B254CF" w:rsidTr="00CA2DD0">
        <w:tc>
          <w:tcPr>
            <w:tcW w:w="8170" w:type="dxa"/>
          </w:tcPr>
          <w:p w:rsidR="000769EC" w:rsidRPr="00B254CF" w:rsidRDefault="000769EC" w:rsidP="00CA2DD0">
            <w:pPr>
              <w:ind w:right="-393"/>
              <w:rPr>
                <w:rFonts w:cs="Arial"/>
              </w:rPr>
            </w:pPr>
            <w:r w:rsidRPr="00B254CF">
              <w:rPr>
                <w:rFonts w:cs="Arial"/>
              </w:rPr>
              <w:t xml:space="preserve">Grafy / </w:t>
            </w:r>
            <w:proofErr w:type="spellStart"/>
            <w:r w:rsidRPr="00B254CF">
              <w:rPr>
                <w:rFonts w:cs="Arial"/>
              </w:rPr>
              <w:t>Graphs</w:t>
            </w:r>
            <w:proofErr w:type="spellEnd"/>
          </w:p>
        </w:tc>
        <w:tc>
          <w:tcPr>
            <w:tcW w:w="1620" w:type="dxa"/>
          </w:tcPr>
          <w:p w:rsidR="000769EC" w:rsidRPr="00B254CF" w:rsidRDefault="000769EC" w:rsidP="00CA2DD0">
            <w:pPr>
              <w:rPr>
                <w:rFonts w:cs="Arial"/>
              </w:rPr>
            </w:pPr>
            <w:r w:rsidRPr="00B254CF">
              <w:rPr>
                <w:rFonts w:cs="Arial"/>
              </w:rPr>
              <w:t xml:space="preserve">     47 - 50</w:t>
            </w:r>
          </w:p>
        </w:tc>
      </w:tr>
    </w:tbl>
    <w:p w:rsidR="000769EC" w:rsidRPr="00B254CF" w:rsidRDefault="000769EC" w:rsidP="000769EC">
      <w:pPr>
        <w:pStyle w:val="Popis"/>
        <w:ind w:right="-33"/>
        <w:jc w:val="center"/>
        <w:rPr>
          <w:b w:val="0"/>
          <w:bCs w:val="0"/>
          <w:lang w:val="sk-SK"/>
        </w:rPr>
      </w:pPr>
    </w:p>
    <w:p w:rsidR="000C17BA" w:rsidRPr="00B254CF" w:rsidRDefault="000C17BA">
      <w:pPr>
        <w:pStyle w:val="Popis"/>
        <w:ind w:right="-33"/>
        <w:jc w:val="center"/>
        <w:rPr>
          <w:b w:val="0"/>
          <w:bCs w:val="0"/>
          <w:sz w:val="20"/>
          <w:lang w:val="sk-SK"/>
        </w:rPr>
      </w:pPr>
    </w:p>
    <w:p w:rsidR="000C17BA" w:rsidRPr="00B254CF" w:rsidRDefault="000C17BA">
      <w:pPr>
        <w:pStyle w:val="Popis"/>
        <w:ind w:right="-33"/>
        <w:jc w:val="center"/>
        <w:rPr>
          <w:b w:val="0"/>
          <w:bCs w:val="0"/>
          <w:sz w:val="20"/>
          <w:lang w:val="sk-SK"/>
        </w:rPr>
      </w:pPr>
    </w:p>
    <w:p w:rsidR="000C17BA" w:rsidRPr="00B254CF" w:rsidRDefault="000C17BA">
      <w:pPr>
        <w:pStyle w:val="Popis"/>
        <w:ind w:right="-33"/>
        <w:jc w:val="center"/>
        <w:rPr>
          <w:b w:val="0"/>
          <w:bCs w:val="0"/>
          <w:sz w:val="20"/>
          <w:lang w:val="sk-SK"/>
        </w:rPr>
      </w:pPr>
    </w:p>
    <w:p w:rsidR="000C17BA" w:rsidRPr="00B254CF" w:rsidRDefault="000C17BA">
      <w:pPr>
        <w:pStyle w:val="Popis"/>
        <w:ind w:right="-33"/>
        <w:jc w:val="center"/>
        <w:rPr>
          <w:b w:val="0"/>
          <w:bCs w:val="0"/>
          <w:sz w:val="20"/>
          <w:lang w:val="sk-SK"/>
        </w:rPr>
      </w:pPr>
    </w:p>
    <w:p w:rsidR="000C17BA" w:rsidRPr="00B254CF" w:rsidRDefault="000C17BA">
      <w:pPr>
        <w:pStyle w:val="Popis"/>
        <w:ind w:right="-33"/>
        <w:jc w:val="center"/>
        <w:rPr>
          <w:b w:val="0"/>
          <w:bCs w:val="0"/>
          <w:sz w:val="20"/>
          <w:lang w:val="sk-SK"/>
        </w:rPr>
      </w:pPr>
    </w:p>
    <w:p w:rsidR="000C17BA" w:rsidRPr="00B254CF" w:rsidRDefault="000C17BA">
      <w:pPr>
        <w:pStyle w:val="Popis"/>
        <w:ind w:right="-33"/>
        <w:jc w:val="center"/>
        <w:rPr>
          <w:b w:val="0"/>
          <w:bCs w:val="0"/>
          <w:sz w:val="20"/>
          <w:lang w:val="sk-SK"/>
        </w:rPr>
      </w:pPr>
    </w:p>
    <w:p w:rsidR="000C17BA" w:rsidRPr="00B254CF" w:rsidRDefault="000C17BA">
      <w:pPr>
        <w:pStyle w:val="Popis"/>
        <w:ind w:right="-33"/>
        <w:jc w:val="center"/>
        <w:rPr>
          <w:b w:val="0"/>
          <w:bCs w:val="0"/>
          <w:sz w:val="20"/>
          <w:lang w:val="sk-SK"/>
        </w:rPr>
      </w:pPr>
    </w:p>
    <w:p w:rsidR="000C17BA" w:rsidRPr="00B254CF" w:rsidRDefault="000C17BA">
      <w:pPr>
        <w:pStyle w:val="Popis"/>
        <w:ind w:right="-33"/>
        <w:jc w:val="center"/>
        <w:rPr>
          <w:b w:val="0"/>
          <w:bCs w:val="0"/>
          <w:sz w:val="20"/>
          <w:lang w:val="sk-SK"/>
        </w:rPr>
      </w:pPr>
    </w:p>
    <w:p w:rsidR="000C17BA" w:rsidRPr="00B254CF" w:rsidRDefault="000C17BA">
      <w:pPr>
        <w:pStyle w:val="Popis"/>
        <w:ind w:right="-33"/>
        <w:jc w:val="center"/>
        <w:rPr>
          <w:b w:val="0"/>
          <w:bCs w:val="0"/>
          <w:sz w:val="20"/>
          <w:lang w:val="sk-SK"/>
        </w:rPr>
      </w:pPr>
    </w:p>
    <w:p w:rsidR="000C17BA" w:rsidRPr="00B254CF" w:rsidRDefault="000C17BA">
      <w:pPr>
        <w:pStyle w:val="Popis"/>
        <w:ind w:right="-33"/>
        <w:jc w:val="center"/>
        <w:rPr>
          <w:b w:val="0"/>
          <w:bCs w:val="0"/>
          <w:sz w:val="20"/>
          <w:lang w:val="sk-SK"/>
        </w:rPr>
      </w:pPr>
    </w:p>
    <w:p w:rsidR="000C17BA" w:rsidRPr="00B254CF" w:rsidRDefault="000C17BA">
      <w:pPr>
        <w:pStyle w:val="Popis"/>
        <w:ind w:right="-33"/>
        <w:jc w:val="center"/>
        <w:rPr>
          <w:b w:val="0"/>
          <w:bCs w:val="0"/>
          <w:sz w:val="20"/>
          <w:lang w:val="sk-SK"/>
        </w:rPr>
      </w:pPr>
    </w:p>
    <w:p w:rsidR="000C17BA" w:rsidRPr="00B254CF" w:rsidRDefault="000C17BA">
      <w:pPr>
        <w:pStyle w:val="Popis"/>
        <w:ind w:right="-33"/>
        <w:jc w:val="center"/>
        <w:rPr>
          <w:b w:val="0"/>
          <w:bCs w:val="0"/>
          <w:sz w:val="20"/>
          <w:lang w:val="sk-SK"/>
        </w:rPr>
      </w:pPr>
    </w:p>
    <w:p w:rsidR="000C17BA" w:rsidRPr="00B254CF" w:rsidRDefault="000C17BA">
      <w:pPr>
        <w:pStyle w:val="Popis"/>
        <w:ind w:right="-33"/>
        <w:jc w:val="center"/>
        <w:rPr>
          <w:b w:val="0"/>
          <w:bCs w:val="0"/>
          <w:sz w:val="20"/>
          <w:lang w:val="sk-SK"/>
        </w:rPr>
      </w:pPr>
    </w:p>
    <w:p w:rsidR="000C17BA" w:rsidRPr="00B254CF" w:rsidRDefault="000C17BA">
      <w:pPr>
        <w:pStyle w:val="Popis"/>
        <w:ind w:right="-33"/>
        <w:rPr>
          <w:b w:val="0"/>
          <w:bCs w:val="0"/>
          <w:sz w:val="30"/>
          <w:lang w:val="sk-SK"/>
        </w:rPr>
      </w:pPr>
      <w:r w:rsidRPr="00B254CF">
        <w:rPr>
          <w:b w:val="0"/>
          <w:bCs w:val="0"/>
          <w:sz w:val="30"/>
          <w:lang w:val="sk-SK"/>
        </w:rPr>
        <w:lastRenderedPageBreak/>
        <w:t>METODICKÉ VYSVETLIVKY</w:t>
      </w:r>
    </w:p>
    <w:p w:rsidR="000C17BA" w:rsidRPr="00B254CF" w:rsidRDefault="000C17BA"/>
    <w:p w:rsidR="000C17BA" w:rsidRPr="00B254CF" w:rsidRDefault="000C17BA"/>
    <w:p w:rsidR="000C17BA" w:rsidRPr="00B254CF" w:rsidRDefault="000C17BA">
      <w:pPr>
        <w:spacing w:after="100"/>
        <w:ind w:right="567" w:firstLine="709"/>
        <w:jc w:val="both"/>
        <w:rPr>
          <w:rFonts w:cs="Arial"/>
        </w:rPr>
      </w:pPr>
      <w:r w:rsidRPr="00B254CF">
        <w:rPr>
          <w:rFonts w:cs="Arial"/>
        </w:rPr>
        <w:t>V roku 20</w:t>
      </w:r>
      <w:r w:rsidR="00486E9B" w:rsidRPr="00B254CF">
        <w:rPr>
          <w:rFonts w:cs="Arial"/>
        </w:rPr>
        <w:t>1</w:t>
      </w:r>
      <w:r w:rsidR="008544BA" w:rsidRPr="00B254CF">
        <w:rPr>
          <w:rFonts w:cs="Arial"/>
        </w:rPr>
        <w:t>8</w:t>
      </w:r>
      <w:r w:rsidRPr="00B254CF">
        <w:rPr>
          <w:rFonts w:cs="Arial"/>
        </w:rPr>
        <w:t xml:space="preserve"> uskutočnil Štatistický úrad  Slovenskej republiky na základe rozhodnutia </w:t>
      </w:r>
      <w:proofErr w:type="spellStart"/>
      <w:r w:rsidRPr="00B254CF">
        <w:rPr>
          <w:rFonts w:cs="Arial"/>
        </w:rPr>
        <w:t>Eurostatu</w:t>
      </w:r>
      <w:proofErr w:type="spellEnd"/>
      <w:r w:rsidRPr="00B254CF">
        <w:rPr>
          <w:rFonts w:cs="Arial"/>
        </w:rPr>
        <w:t xml:space="preserve"> revíziu cenových indexov poľnohospodárskych výrobkov, ktorá spočívala v :</w:t>
      </w:r>
    </w:p>
    <w:p w:rsidR="000C17BA" w:rsidRPr="00B254CF" w:rsidRDefault="000C17BA">
      <w:pPr>
        <w:spacing w:after="100"/>
        <w:ind w:right="567"/>
        <w:jc w:val="both"/>
        <w:rPr>
          <w:rFonts w:cs="Arial"/>
        </w:rPr>
      </w:pPr>
      <w:r w:rsidRPr="00B254CF">
        <w:rPr>
          <w:rFonts w:cs="Arial"/>
        </w:rPr>
        <w:t xml:space="preserve">   - zmene bázického obdobia (predtým rok 20</w:t>
      </w:r>
      <w:r w:rsidR="008544BA" w:rsidRPr="00B254CF">
        <w:rPr>
          <w:rFonts w:cs="Arial"/>
        </w:rPr>
        <w:t>10</w:t>
      </w:r>
      <w:r w:rsidRPr="00B254CF">
        <w:rPr>
          <w:rFonts w:cs="Arial"/>
        </w:rPr>
        <w:t>, od roku 20</w:t>
      </w:r>
      <w:r w:rsidR="00486E9B" w:rsidRPr="00B254CF">
        <w:rPr>
          <w:rFonts w:cs="Arial"/>
        </w:rPr>
        <w:t>1</w:t>
      </w:r>
      <w:r w:rsidR="008544BA" w:rsidRPr="00B254CF">
        <w:rPr>
          <w:rFonts w:cs="Arial"/>
        </w:rPr>
        <w:t>8</w:t>
      </w:r>
      <w:r w:rsidRPr="00B254CF">
        <w:rPr>
          <w:rFonts w:cs="Arial"/>
        </w:rPr>
        <w:t xml:space="preserve"> rok 20</w:t>
      </w:r>
      <w:r w:rsidR="00486E9B" w:rsidRPr="00B254CF">
        <w:rPr>
          <w:rFonts w:cs="Arial"/>
        </w:rPr>
        <w:t>1</w:t>
      </w:r>
      <w:r w:rsidR="008544BA" w:rsidRPr="00B254CF">
        <w:rPr>
          <w:rFonts w:cs="Arial"/>
        </w:rPr>
        <w:t>5</w:t>
      </w:r>
      <w:r w:rsidRPr="00B254CF">
        <w:rPr>
          <w:rFonts w:cs="Arial"/>
        </w:rPr>
        <w:t>= 100),</w:t>
      </w:r>
    </w:p>
    <w:p w:rsidR="000C17BA" w:rsidRPr="00B254CF" w:rsidRDefault="000C17BA">
      <w:pPr>
        <w:spacing w:after="100"/>
        <w:ind w:right="567"/>
        <w:jc w:val="both"/>
        <w:rPr>
          <w:rFonts w:cs="Arial"/>
        </w:rPr>
      </w:pPr>
      <w:r w:rsidRPr="00B254CF">
        <w:rPr>
          <w:rFonts w:cs="Arial"/>
        </w:rPr>
        <w:t xml:space="preserve">   - zmene váhového systému (predtým na základe mesa</w:t>
      </w:r>
      <w:r w:rsidR="00486E9B" w:rsidRPr="00B254CF">
        <w:rPr>
          <w:rFonts w:cs="Arial"/>
        </w:rPr>
        <w:t>čného priemeru tržieb za roky 200</w:t>
      </w:r>
      <w:r w:rsidR="008544BA" w:rsidRPr="00B254CF">
        <w:rPr>
          <w:rFonts w:cs="Arial"/>
        </w:rPr>
        <w:t>9</w:t>
      </w:r>
      <w:r w:rsidRPr="00B254CF">
        <w:rPr>
          <w:rFonts w:cs="Arial"/>
        </w:rPr>
        <w:t xml:space="preserve"> - 20</w:t>
      </w:r>
      <w:r w:rsidR="008544BA" w:rsidRPr="00B254CF">
        <w:rPr>
          <w:rFonts w:cs="Arial"/>
        </w:rPr>
        <w:t>11</w:t>
      </w:r>
      <w:r w:rsidRPr="00B254CF">
        <w:rPr>
          <w:rFonts w:cs="Arial"/>
        </w:rPr>
        <w:t>, súčasne na základe mesačného priemeru tržieb za roky 20</w:t>
      </w:r>
      <w:r w:rsidR="008544BA" w:rsidRPr="00B254CF">
        <w:rPr>
          <w:rFonts w:cs="Arial"/>
        </w:rPr>
        <w:t>14</w:t>
      </w:r>
      <w:r w:rsidRPr="00B254CF">
        <w:rPr>
          <w:rFonts w:cs="Arial"/>
        </w:rPr>
        <w:t xml:space="preserve"> - 20</w:t>
      </w:r>
      <w:r w:rsidR="00486E9B" w:rsidRPr="00B254CF">
        <w:rPr>
          <w:rFonts w:cs="Arial"/>
        </w:rPr>
        <w:t>1</w:t>
      </w:r>
      <w:r w:rsidR="008544BA" w:rsidRPr="00B254CF">
        <w:rPr>
          <w:rFonts w:cs="Arial"/>
        </w:rPr>
        <w:t>6</w:t>
      </w:r>
      <w:r w:rsidRPr="00B254CF">
        <w:rPr>
          <w:rFonts w:cs="Arial"/>
        </w:rPr>
        <w:t>),</w:t>
      </w:r>
    </w:p>
    <w:p w:rsidR="000C17BA" w:rsidRPr="00B254CF" w:rsidRDefault="000C17BA">
      <w:pPr>
        <w:pStyle w:val="Zkladntext2"/>
        <w:rPr>
          <w:sz w:val="24"/>
        </w:rPr>
      </w:pPr>
      <w:r w:rsidRPr="00B254CF">
        <w:rPr>
          <w:sz w:val="24"/>
        </w:rPr>
        <w:t xml:space="preserve">   - aktualizácii a rozšírení počtu respondentov na cca 500.</w:t>
      </w:r>
    </w:p>
    <w:p w:rsidR="000C17BA" w:rsidRPr="00B254CF" w:rsidRDefault="000C17BA">
      <w:pPr>
        <w:spacing w:after="100"/>
        <w:ind w:right="567"/>
        <w:jc w:val="both"/>
        <w:rPr>
          <w:rFonts w:cs="Arial"/>
        </w:rPr>
      </w:pPr>
      <w:r w:rsidRPr="00B254CF">
        <w:rPr>
          <w:rFonts w:cs="Arial"/>
        </w:rPr>
        <w:tab/>
        <w:t xml:space="preserve">Ceny poľnohospodárskych výrobkov sa zisťujú mesačne štátnym štatistickým výkazom </w:t>
      </w:r>
      <w:r w:rsidRPr="00B254CF">
        <w:rPr>
          <w:rFonts w:cs="Arial"/>
          <w:bCs w:val="0"/>
        </w:rPr>
        <w:t>Ceny</w:t>
      </w:r>
      <w:r w:rsidR="00486E9B" w:rsidRPr="00B254CF">
        <w:rPr>
          <w:rFonts w:cs="Arial"/>
          <w:bCs w:val="0"/>
        </w:rPr>
        <w:t xml:space="preserve"> Poľ NC </w:t>
      </w:r>
      <w:r w:rsidRPr="00B254CF">
        <w:rPr>
          <w:rFonts w:cs="Arial"/>
          <w:bCs w:val="0"/>
        </w:rPr>
        <w:t>1 - 12</w:t>
      </w:r>
      <w:r w:rsidRPr="00B254CF">
        <w:rPr>
          <w:rFonts w:cs="Arial"/>
        </w:rPr>
        <w:t xml:space="preserve"> vo vybranom súbore poľnohospodárskych výrobcov bez  ohľadu na formu  vlastníctva (organizácie družstevné, štátne i súkromníci).</w:t>
      </w:r>
    </w:p>
    <w:p w:rsidR="000C17BA" w:rsidRPr="00B254CF" w:rsidRDefault="000C17BA">
      <w:pPr>
        <w:spacing w:after="100"/>
        <w:ind w:right="567"/>
        <w:jc w:val="both"/>
        <w:rPr>
          <w:rFonts w:cs="Arial"/>
        </w:rPr>
      </w:pPr>
      <w:r w:rsidRPr="00B254CF">
        <w:rPr>
          <w:rFonts w:cs="Arial"/>
        </w:rPr>
        <w:tab/>
        <w:t>Pre zisťovanie cien boli vybrané hlavné poľnohospodárske výrobky v určených akostných triedach. Vo výkaze sú zahrnuté rastlinné výrobky vrátane ovocia a zeleniny a živočíšne výrobky vrátane rýb.</w:t>
      </w:r>
    </w:p>
    <w:p w:rsidR="000C17BA" w:rsidRPr="00B254CF" w:rsidRDefault="000C17BA">
      <w:pPr>
        <w:spacing w:after="100"/>
        <w:ind w:right="567"/>
        <w:jc w:val="both"/>
        <w:rPr>
          <w:rFonts w:cs="Arial"/>
        </w:rPr>
      </w:pPr>
      <w:r w:rsidRPr="00B254CF">
        <w:rPr>
          <w:rFonts w:cs="Arial"/>
        </w:rPr>
        <w:tab/>
        <w:t xml:space="preserve">Ceny sa zisťujú ako nevážené aritmetické priemery všetkých dôležitejších obchodných prípadov organizácie, ktoré sa vyskytnú </w:t>
      </w:r>
      <w:r w:rsidR="00987372" w:rsidRPr="00B254CF">
        <w:rPr>
          <w:rFonts w:cs="Arial"/>
        </w:rPr>
        <w:t>v sledovanom období až do odoslania výkazu</w:t>
      </w:r>
      <w:r w:rsidRPr="00B254CF">
        <w:rPr>
          <w:rFonts w:cs="Arial"/>
        </w:rPr>
        <w:t xml:space="preserve">. Ceny sa uvádzajú </w:t>
      </w:r>
      <w:r w:rsidRPr="00B254CF">
        <w:rPr>
          <w:rFonts w:cs="Arial"/>
          <w:u w:val="single"/>
        </w:rPr>
        <w:t>bez dane z pridanej hodnoty.</w:t>
      </w:r>
      <w:r w:rsidRPr="00B254CF">
        <w:rPr>
          <w:rFonts w:cs="Arial"/>
        </w:rPr>
        <w:t xml:space="preserve"> Okrem toho sa výkazom zisťuje aj množstvo a hodnota predaja vybraných reprezentantov za všetky akosti úhrnom (bez neštandardov a nutných porážok) za celý predchádzajúci mesiac. Uvedené dáta sú podkladom pre výpočet priemerných hodnôt.</w:t>
      </w:r>
    </w:p>
    <w:p w:rsidR="000C17BA" w:rsidRPr="00B254CF" w:rsidRDefault="000C17BA">
      <w:pPr>
        <w:spacing w:after="100"/>
        <w:ind w:right="567"/>
        <w:jc w:val="both"/>
        <w:rPr>
          <w:rFonts w:cs="Arial"/>
        </w:rPr>
      </w:pPr>
      <w:r w:rsidRPr="00B254CF">
        <w:rPr>
          <w:rFonts w:cs="Arial"/>
        </w:rPr>
        <w:tab/>
        <w:t xml:space="preserve">Priemerné ceny sledovaných poľnohospodárskych výrobkov sa vypočítavajú ako aritmetický priemer individuálnych cien jednotlivých výrobcov za SR, </w:t>
      </w:r>
      <w:proofErr w:type="spellStart"/>
      <w:r w:rsidRPr="00B254CF">
        <w:rPr>
          <w:rFonts w:cs="Arial"/>
        </w:rPr>
        <w:t>resp.kraje</w:t>
      </w:r>
      <w:proofErr w:type="spellEnd"/>
      <w:r w:rsidRPr="00B254CF">
        <w:rPr>
          <w:rFonts w:cs="Arial"/>
        </w:rPr>
        <w:t>.</w:t>
      </w:r>
    </w:p>
    <w:p w:rsidR="000C17BA" w:rsidRDefault="000C17BA">
      <w:pPr>
        <w:pStyle w:val="Zkladntext2"/>
        <w:spacing w:after="0"/>
        <w:rPr>
          <w:sz w:val="24"/>
        </w:rPr>
      </w:pPr>
      <w:r w:rsidRPr="00B254CF">
        <w:rPr>
          <w:sz w:val="24"/>
        </w:rPr>
        <w:tab/>
        <w:t xml:space="preserve">Cenové indexy sa vypočítavajú zo zistených cien </w:t>
      </w:r>
      <w:r w:rsidR="00486E9B" w:rsidRPr="00B254CF">
        <w:rPr>
          <w:sz w:val="24"/>
        </w:rPr>
        <w:t>85</w:t>
      </w:r>
      <w:r w:rsidRPr="00B254CF">
        <w:rPr>
          <w:sz w:val="24"/>
        </w:rPr>
        <w:t xml:space="preserve"> vybraných výrobkov -cenových reprezentantov. Jednoduché indexy sa agregujú pomocou stáleho mesačného váhového systému  do skupín a úhrnu podľa </w:t>
      </w:r>
      <w:proofErr w:type="spellStart"/>
      <w:r w:rsidRPr="00B254CF">
        <w:rPr>
          <w:sz w:val="24"/>
        </w:rPr>
        <w:t>Laspeyresovho</w:t>
      </w:r>
      <w:proofErr w:type="spellEnd"/>
      <w:r w:rsidRPr="00B254CF">
        <w:rPr>
          <w:sz w:val="24"/>
        </w:rPr>
        <w:t xml:space="preserve"> vzorca:</w:t>
      </w:r>
    </w:p>
    <w:p w:rsidR="00D23C49" w:rsidRPr="00B254CF" w:rsidRDefault="00D23C49">
      <w:pPr>
        <w:pStyle w:val="Zkladntext2"/>
        <w:spacing w:after="0"/>
        <w:rPr>
          <w:sz w:val="24"/>
        </w:rPr>
      </w:pPr>
    </w:p>
    <w:p w:rsidR="000C17BA" w:rsidRPr="00B254CF" w:rsidRDefault="000C17BA">
      <w:pPr>
        <w:ind w:left="2832" w:firstLine="708"/>
        <w:jc w:val="both"/>
        <w:rPr>
          <w:rFonts w:cs="Arial"/>
        </w:rPr>
      </w:pPr>
      <w:r w:rsidRPr="00B254CF">
        <w:rPr>
          <w:rFonts w:cs="Arial"/>
        </w:rPr>
        <w:t xml:space="preserve">           p</w:t>
      </w:r>
      <w:r w:rsidRPr="00B254CF">
        <w:rPr>
          <w:rFonts w:cs="Arial"/>
          <w:vertAlign w:val="subscript"/>
        </w:rPr>
        <w:t>1</w:t>
      </w:r>
    </w:p>
    <w:p w:rsidR="000C17BA" w:rsidRPr="00B254CF" w:rsidRDefault="000C17BA">
      <w:pPr>
        <w:ind w:left="2832" w:firstLine="708"/>
        <w:jc w:val="both"/>
        <w:rPr>
          <w:rFonts w:cs="Arial"/>
        </w:rPr>
      </w:pPr>
      <w:r w:rsidRPr="00B254CF">
        <w:rPr>
          <w:rFonts w:cs="Arial"/>
        </w:rPr>
        <w:t>Σ  –––––––––– . p</w:t>
      </w:r>
      <w:r w:rsidRPr="00B254CF">
        <w:rPr>
          <w:rFonts w:cs="Arial"/>
          <w:vertAlign w:val="subscript"/>
        </w:rPr>
        <w:t>0</w:t>
      </w:r>
      <w:r w:rsidRPr="00B254CF">
        <w:rPr>
          <w:rFonts w:cs="Arial"/>
        </w:rPr>
        <w:t xml:space="preserve"> q</w:t>
      </w:r>
      <w:r w:rsidRPr="00B254CF">
        <w:rPr>
          <w:rFonts w:cs="Arial"/>
          <w:vertAlign w:val="subscript"/>
        </w:rPr>
        <w:t>0</w:t>
      </w:r>
    </w:p>
    <w:p w:rsidR="000C17BA" w:rsidRPr="00B254CF" w:rsidRDefault="000C17BA">
      <w:pPr>
        <w:ind w:left="2832" w:firstLine="708"/>
        <w:jc w:val="both"/>
        <w:rPr>
          <w:rFonts w:cs="Arial"/>
        </w:rPr>
      </w:pPr>
      <w:r w:rsidRPr="00B254CF">
        <w:rPr>
          <w:rFonts w:cs="Arial"/>
        </w:rPr>
        <w:t xml:space="preserve">           p</w:t>
      </w:r>
      <w:r w:rsidRPr="00B254CF">
        <w:rPr>
          <w:rFonts w:cs="Arial"/>
          <w:vertAlign w:val="subscript"/>
        </w:rPr>
        <w:t>0</w:t>
      </w:r>
    </w:p>
    <w:p w:rsidR="000C17BA" w:rsidRPr="00B254CF" w:rsidRDefault="000C17BA">
      <w:pPr>
        <w:ind w:left="1416" w:firstLine="708"/>
        <w:jc w:val="both"/>
        <w:rPr>
          <w:rFonts w:cs="Arial"/>
        </w:rPr>
      </w:pPr>
      <w:r w:rsidRPr="00B254CF">
        <w:rPr>
          <w:rFonts w:cs="Arial"/>
        </w:rPr>
        <w:t>I  =  ––––––––––––––––––––––––––––––   .  100</w:t>
      </w:r>
    </w:p>
    <w:p w:rsidR="000C17BA" w:rsidRPr="00B254CF" w:rsidRDefault="000C17BA">
      <w:pPr>
        <w:ind w:firstLine="708"/>
        <w:jc w:val="both"/>
        <w:rPr>
          <w:rFonts w:cs="Arial"/>
        </w:rPr>
      </w:pPr>
    </w:p>
    <w:p w:rsidR="000C17BA" w:rsidRPr="00B254CF" w:rsidRDefault="000C17BA">
      <w:pPr>
        <w:ind w:firstLine="708"/>
        <w:jc w:val="both"/>
        <w:rPr>
          <w:rFonts w:cs="Arial"/>
          <w:vertAlign w:val="subscript"/>
        </w:rPr>
      </w:pPr>
      <w:r w:rsidRPr="00B254CF">
        <w:rPr>
          <w:rFonts w:cs="Arial"/>
        </w:rPr>
        <w:tab/>
      </w:r>
      <w:r w:rsidRPr="00B254CF">
        <w:rPr>
          <w:rFonts w:cs="Arial"/>
        </w:rPr>
        <w:tab/>
      </w:r>
      <w:r w:rsidRPr="00B254CF">
        <w:rPr>
          <w:rFonts w:cs="Arial"/>
        </w:rPr>
        <w:tab/>
      </w:r>
      <w:r w:rsidRPr="00B254CF">
        <w:rPr>
          <w:rFonts w:cs="Arial"/>
        </w:rPr>
        <w:tab/>
        <w:t>Σ        p</w:t>
      </w:r>
      <w:r w:rsidRPr="00B254CF">
        <w:rPr>
          <w:rFonts w:cs="Arial"/>
          <w:vertAlign w:val="subscript"/>
        </w:rPr>
        <w:t>0</w:t>
      </w:r>
      <w:r w:rsidRPr="00B254CF">
        <w:rPr>
          <w:rFonts w:cs="Arial"/>
        </w:rPr>
        <w:t xml:space="preserve"> q</w:t>
      </w:r>
      <w:r w:rsidRPr="00B254CF">
        <w:rPr>
          <w:rFonts w:cs="Arial"/>
          <w:vertAlign w:val="subscript"/>
        </w:rPr>
        <w:t>0</w:t>
      </w:r>
    </w:p>
    <w:p w:rsidR="000C17BA" w:rsidRPr="00B254CF" w:rsidRDefault="000C17BA">
      <w:pPr>
        <w:ind w:left="2835"/>
        <w:jc w:val="both"/>
        <w:rPr>
          <w:rFonts w:cs="Arial"/>
        </w:rPr>
      </w:pPr>
    </w:p>
    <w:p w:rsidR="000C17BA" w:rsidRPr="00B254CF" w:rsidRDefault="000C17BA">
      <w:pPr>
        <w:jc w:val="both"/>
        <w:rPr>
          <w:rFonts w:cs="Arial"/>
        </w:rPr>
      </w:pPr>
    </w:p>
    <w:p w:rsidR="000C17BA" w:rsidRPr="00B254CF" w:rsidRDefault="000C17BA">
      <w:pPr>
        <w:jc w:val="both"/>
        <w:rPr>
          <w:rFonts w:cs="Arial"/>
        </w:rPr>
      </w:pPr>
      <w:r w:rsidRPr="00B254CF">
        <w:rPr>
          <w:rFonts w:cs="Arial"/>
        </w:rPr>
        <w:t>p</w:t>
      </w:r>
      <w:r w:rsidRPr="00B254CF">
        <w:rPr>
          <w:rFonts w:cs="Arial"/>
          <w:vertAlign w:val="subscript"/>
        </w:rPr>
        <w:t xml:space="preserve">1  </w:t>
      </w:r>
      <w:r w:rsidRPr="00B254CF">
        <w:rPr>
          <w:rFonts w:cs="Arial"/>
        </w:rPr>
        <w:t xml:space="preserve">     -  cena sledovaného obdobia</w:t>
      </w:r>
    </w:p>
    <w:p w:rsidR="000C17BA" w:rsidRPr="00B254CF" w:rsidRDefault="000C17BA">
      <w:pPr>
        <w:jc w:val="both"/>
        <w:rPr>
          <w:rFonts w:cs="Arial"/>
        </w:rPr>
      </w:pPr>
      <w:r w:rsidRPr="00B254CF">
        <w:rPr>
          <w:rFonts w:cs="Arial"/>
        </w:rPr>
        <w:t>p</w:t>
      </w:r>
      <w:r w:rsidRPr="00B254CF">
        <w:rPr>
          <w:rFonts w:cs="Arial"/>
          <w:vertAlign w:val="subscript"/>
        </w:rPr>
        <w:t>0</w:t>
      </w:r>
      <w:r w:rsidRPr="00B254CF">
        <w:rPr>
          <w:rFonts w:cs="Arial"/>
        </w:rPr>
        <w:t xml:space="preserve">      -  cena základného obdobia (cena jednotlivých mesiacov roka 20</w:t>
      </w:r>
      <w:r w:rsidR="00987372" w:rsidRPr="00B254CF">
        <w:rPr>
          <w:rFonts w:cs="Arial"/>
        </w:rPr>
        <w:t>15</w:t>
      </w:r>
      <w:r w:rsidRPr="00B254CF">
        <w:rPr>
          <w:rFonts w:cs="Arial"/>
        </w:rPr>
        <w:t>)</w:t>
      </w:r>
    </w:p>
    <w:p w:rsidR="000C17BA" w:rsidRPr="00B254CF" w:rsidRDefault="000C17BA">
      <w:pPr>
        <w:jc w:val="both"/>
        <w:rPr>
          <w:rFonts w:cs="Arial"/>
        </w:rPr>
      </w:pPr>
      <w:r w:rsidRPr="00B254CF">
        <w:rPr>
          <w:rFonts w:cs="Arial"/>
        </w:rPr>
        <w:t>p</w:t>
      </w:r>
      <w:r w:rsidRPr="00B254CF">
        <w:rPr>
          <w:rFonts w:cs="Arial"/>
          <w:vertAlign w:val="subscript"/>
        </w:rPr>
        <w:t>0</w:t>
      </w:r>
      <w:r w:rsidRPr="00B254CF">
        <w:rPr>
          <w:rFonts w:cs="Arial"/>
        </w:rPr>
        <w:t xml:space="preserve"> q</w:t>
      </w:r>
      <w:r w:rsidRPr="00B254CF">
        <w:rPr>
          <w:rFonts w:cs="Arial"/>
          <w:vertAlign w:val="subscript"/>
        </w:rPr>
        <w:t xml:space="preserve">0 </w:t>
      </w:r>
      <w:r w:rsidRPr="00B254CF">
        <w:rPr>
          <w:rFonts w:cs="Arial"/>
        </w:rPr>
        <w:t xml:space="preserve"> -  stála váha - odvodená z hodnoty predaja základného obdobia</w:t>
      </w:r>
    </w:p>
    <w:p w:rsidR="000C17BA" w:rsidRPr="00B254CF" w:rsidRDefault="000C17BA">
      <w:pPr>
        <w:jc w:val="both"/>
        <w:rPr>
          <w:rFonts w:cs="Arial"/>
        </w:rPr>
      </w:pPr>
      <w:r w:rsidRPr="00B254CF">
        <w:rPr>
          <w:rFonts w:cs="Arial"/>
        </w:rPr>
        <w:tab/>
        <w:t xml:space="preserve">  (priemer rokov 20</w:t>
      </w:r>
      <w:r w:rsidR="00987372" w:rsidRPr="00B254CF">
        <w:rPr>
          <w:rFonts w:cs="Arial"/>
        </w:rPr>
        <w:t>14</w:t>
      </w:r>
      <w:r w:rsidRPr="00B254CF">
        <w:rPr>
          <w:rFonts w:cs="Arial"/>
        </w:rPr>
        <w:t xml:space="preserve"> - 20</w:t>
      </w:r>
      <w:r w:rsidR="003E0BAE" w:rsidRPr="00B254CF">
        <w:rPr>
          <w:rFonts w:cs="Arial"/>
        </w:rPr>
        <w:t>1</w:t>
      </w:r>
      <w:r w:rsidR="00987372" w:rsidRPr="00B254CF">
        <w:rPr>
          <w:rFonts w:cs="Arial"/>
        </w:rPr>
        <w:t>6</w:t>
      </w:r>
      <w:r w:rsidRPr="00B254CF">
        <w:rPr>
          <w:rFonts w:cs="Arial"/>
        </w:rPr>
        <w:t>) v relatívnom vyjadrení</w:t>
      </w:r>
    </w:p>
    <w:p w:rsidR="000C17BA" w:rsidRPr="00B254CF" w:rsidRDefault="000C17BA">
      <w:pPr>
        <w:pStyle w:val="Nadpis1"/>
        <w:jc w:val="center"/>
        <w:rPr>
          <w:b w:val="0"/>
          <w:bCs w:val="0"/>
          <w:sz w:val="20"/>
          <w:lang w:val="en-GB"/>
        </w:rPr>
      </w:pPr>
    </w:p>
    <w:p w:rsidR="000C17BA" w:rsidRPr="00B254CF" w:rsidRDefault="000C17BA">
      <w:pPr>
        <w:rPr>
          <w:lang w:val="en-GB"/>
        </w:rPr>
      </w:pPr>
    </w:p>
    <w:p w:rsidR="000C17BA" w:rsidRPr="00B254CF" w:rsidRDefault="000C17BA">
      <w:pPr>
        <w:pStyle w:val="Nadpis1"/>
        <w:rPr>
          <w:b w:val="0"/>
          <w:bCs w:val="0"/>
          <w:sz w:val="30"/>
          <w:lang w:val="en-GB"/>
        </w:rPr>
      </w:pPr>
      <w:r w:rsidRPr="00B254CF">
        <w:rPr>
          <w:b w:val="0"/>
          <w:bCs w:val="0"/>
          <w:sz w:val="30"/>
          <w:lang w:val="en-GB"/>
        </w:rPr>
        <w:lastRenderedPageBreak/>
        <w:t>METHODOLOGY NOTES</w:t>
      </w:r>
    </w:p>
    <w:p w:rsidR="000C17BA" w:rsidRPr="00B254CF" w:rsidRDefault="000C17BA">
      <w:pPr>
        <w:jc w:val="both"/>
        <w:rPr>
          <w:rFonts w:cs="Arial"/>
        </w:rPr>
      </w:pPr>
    </w:p>
    <w:p w:rsidR="000C17BA" w:rsidRPr="00B254CF" w:rsidRDefault="000C17BA">
      <w:pPr>
        <w:jc w:val="both"/>
        <w:rPr>
          <w:rFonts w:cs="Arial"/>
        </w:rPr>
      </w:pPr>
    </w:p>
    <w:p w:rsidR="000C17BA" w:rsidRPr="00B254CF" w:rsidRDefault="000C17BA">
      <w:pPr>
        <w:ind w:firstLine="708"/>
        <w:jc w:val="both"/>
        <w:rPr>
          <w:rFonts w:cs="Arial"/>
        </w:rPr>
      </w:pPr>
      <w:r w:rsidRPr="00B254CF">
        <w:rPr>
          <w:rFonts w:cs="Arial"/>
        </w:rPr>
        <w:t>In 20</w:t>
      </w:r>
      <w:r w:rsidR="00486E9B" w:rsidRPr="00B254CF">
        <w:rPr>
          <w:rFonts w:cs="Arial"/>
        </w:rPr>
        <w:t>1</w:t>
      </w:r>
      <w:r w:rsidR="00F9589A" w:rsidRPr="00B254CF">
        <w:rPr>
          <w:rFonts w:cs="Arial"/>
        </w:rPr>
        <w:t>8</w:t>
      </w:r>
      <w:r w:rsidRPr="00B254CF">
        <w:rPr>
          <w:rFonts w:cs="Arial"/>
        </w:rPr>
        <w:t xml:space="preserve">, </w:t>
      </w:r>
      <w:proofErr w:type="spellStart"/>
      <w:r w:rsidRPr="00B254CF">
        <w:rPr>
          <w:rFonts w:cs="Arial"/>
        </w:rPr>
        <w:t>based</w:t>
      </w:r>
      <w:proofErr w:type="spellEnd"/>
      <w:r w:rsidRPr="00B254CF">
        <w:rPr>
          <w:rFonts w:cs="Arial"/>
        </w:rPr>
        <w:t xml:space="preserve"> on </w:t>
      </w:r>
      <w:proofErr w:type="spellStart"/>
      <w:r w:rsidRPr="00B254CF">
        <w:rPr>
          <w:rFonts w:cs="Arial"/>
        </w:rPr>
        <w:t>the</w:t>
      </w:r>
      <w:proofErr w:type="spellEnd"/>
      <w:r w:rsidRPr="00B254CF">
        <w:rPr>
          <w:rFonts w:cs="Arial"/>
        </w:rPr>
        <w:t xml:space="preserve"> </w:t>
      </w:r>
      <w:proofErr w:type="spellStart"/>
      <w:r w:rsidRPr="00B254CF">
        <w:rPr>
          <w:rFonts w:cs="Arial"/>
        </w:rPr>
        <w:t>respective</w:t>
      </w:r>
      <w:proofErr w:type="spellEnd"/>
      <w:r w:rsidRPr="00B254CF">
        <w:rPr>
          <w:rFonts w:cs="Arial"/>
        </w:rPr>
        <w:t xml:space="preserve"> </w:t>
      </w:r>
      <w:proofErr w:type="spellStart"/>
      <w:r w:rsidRPr="00B254CF">
        <w:rPr>
          <w:rFonts w:cs="Arial"/>
        </w:rPr>
        <w:t>decision</w:t>
      </w:r>
      <w:proofErr w:type="spellEnd"/>
      <w:r w:rsidRPr="00B254CF">
        <w:rPr>
          <w:rFonts w:cs="Arial"/>
        </w:rPr>
        <w:t xml:space="preserve"> of  EUROSTAT, </w:t>
      </w:r>
      <w:proofErr w:type="spellStart"/>
      <w:r w:rsidRPr="00B254CF">
        <w:rPr>
          <w:rFonts w:cs="Arial"/>
        </w:rPr>
        <w:t>the</w:t>
      </w:r>
      <w:proofErr w:type="spellEnd"/>
      <w:r w:rsidRPr="00B254CF">
        <w:rPr>
          <w:rFonts w:cs="Arial"/>
        </w:rPr>
        <w:t xml:space="preserve"> </w:t>
      </w:r>
      <w:proofErr w:type="spellStart"/>
      <w:r w:rsidRPr="00B254CF">
        <w:rPr>
          <w:rFonts w:cs="Arial"/>
        </w:rPr>
        <w:t>Statistical</w:t>
      </w:r>
      <w:proofErr w:type="spellEnd"/>
      <w:r w:rsidRPr="00B254CF">
        <w:rPr>
          <w:rFonts w:cs="Arial"/>
        </w:rPr>
        <w:t xml:space="preserve"> Office of </w:t>
      </w:r>
      <w:proofErr w:type="spellStart"/>
      <w:r w:rsidRPr="00B254CF">
        <w:rPr>
          <w:rFonts w:cs="Arial"/>
        </w:rPr>
        <w:t>the</w:t>
      </w:r>
      <w:proofErr w:type="spellEnd"/>
      <w:r w:rsidRPr="00B254CF">
        <w:rPr>
          <w:rFonts w:cs="Arial"/>
        </w:rPr>
        <w:t xml:space="preserve"> Slovak </w:t>
      </w:r>
      <w:proofErr w:type="spellStart"/>
      <w:r w:rsidRPr="00B254CF">
        <w:rPr>
          <w:rFonts w:cs="Arial"/>
        </w:rPr>
        <w:t>Republic</w:t>
      </w:r>
      <w:proofErr w:type="spellEnd"/>
      <w:r w:rsidRPr="00B254CF">
        <w:rPr>
          <w:rFonts w:cs="Arial"/>
        </w:rPr>
        <w:t xml:space="preserve"> </w:t>
      </w:r>
      <w:proofErr w:type="spellStart"/>
      <w:r w:rsidRPr="00B254CF">
        <w:rPr>
          <w:rFonts w:cs="Arial"/>
        </w:rPr>
        <w:t>undertook</w:t>
      </w:r>
      <w:proofErr w:type="spellEnd"/>
      <w:r w:rsidRPr="00B254CF">
        <w:rPr>
          <w:rFonts w:cs="Arial"/>
        </w:rPr>
        <w:t xml:space="preserve"> a </w:t>
      </w:r>
      <w:proofErr w:type="spellStart"/>
      <w:r w:rsidRPr="00B254CF">
        <w:rPr>
          <w:rFonts w:cs="Arial"/>
        </w:rPr>
        <w:t>revision</w:t>
      </w:r>
      <w:proofErr w:type="spellEnd"/>
      <w:r w:rsidRPr="00B254CF">
        <w:rPr>
          <w:rFonts w:cs="Arial"/>
        </w:rPr>
        <w:t xml:space="preserve"> of </w:t>
      </w:r>
      <w:proofErr w:type="spellStart"/>
      <w:r w:rsidRPr="00B254CF">
        <w:rPr>
          <w:rFonts w:cs="Arial"/>
        </w:rPr>
        <w:t>the</w:t>
      </w:r>
      <w:proofErr w:type="spellEnd"/>
      <w:r w:rsidRPr="00B254CF">
        <w:rPr>
          <w:rFonts w:cs="Arial"/>
        </w:rPr>
        <w:t xml:space="preserve"> </w:t>
      </w:r>
      <w:proofErr w:type="spellStart"/>
      <w:r w:rsidRPr="00B254CF">
        <w:rPr>
          <w:rFonts w:cs="Arial"/>
        </w:rPr>
        <w:t>price</w:t>
      </w:r>
      <w:proofErr w:type="spellEnd"/>
      <w:r w:rsidRPr="00B254CF">
        <w:rPr>
          <w:rFonts w:cs="Arial"/>
        </w:rPr>
        <w:t xml:space="preserve"> </w:t>
      </w:r>
      <w:proofErr w:type="spellStart"/>
      <w:r w:rsidRPr="00B254CF">
        <w:rPr>
          <w:rFonts w:cs="Arial"/>
        </w:rPr>
        <w:t>indices</w:t>
      </w:r>
      <w:proofErr w:type="spellEnd"/>
      <w:r w:rsidRPr="00B254CF">
        <w:rPr>
          <w:rFonts w:cs="Arial"/>
        </w:rPr>
        <w:t xml:space="preserve"> of </w:t>
      </w:r>
      <w:proofErr w:type="spellStart"/>
      <w:r w:rsidRPr="00B254CF">
        <w:rPr>
          <w:rFonts w:cs="Arial"/>
        </w:rPr>
        <w:t>agricultural</w:t>
      </w:r>
      <w:proofErr w:type="spellEnd"/>
      <w:r w:rsidRPr="00B254CF">
        <w:rPr>
          <w:rFonts w:cs="Arial"/>
        </w:rPr>
        <w:t xml:space="preserve"> </w:t>
      </w:r>
      <w:proofErr w:type="spellStart"/>
      <w:r w:rsidRPr="00B254CF">
        <w:rPr>
          <w:rFonts w:cs="Arial"/>
        </w:rPr>
        <w:t>products</w:t>
      </w:r>
      <w:proofErr w:type="spellEnd"/>
      <w:r w:rsidRPr="00B254CF">
        <w:rPr>
          <w:rFonts w:cs="Arial"/>
        </w:rPr>
        <w:t xml:space="preserve">, </w:t>
      </w:r>
      <w:proofErr w:type="spellStart"/>
      <w:r w:rsidRPr="00B254CF">
        <w:rPr>
          <w:rFonts w:cs="Arial"/>
        </w:rPr>
        <w:t>which</w:t>
      </w:r>
      <w:proofErr w:type="spellEnd"/>
      <w:r w:rsidRPr="00B254CF">
        <w:rPr>
          <w:rFonts w:cs="Arial"/>
        </w:rPr>
        <w:t xml:space="preserve"> </w:t>
      </w:r>
      <w:proofErr w:type="spellStart"/>
      <w:r w:rsidRPr="00B254CF">
        <w:rPr>
          <w:rFonts w:cs="Arial"/>
        </w:rPr>
        <w:t>consisted</w:t>
      </w:r>
      <w:proofErr w:type="spellEnd"/>
      <w:r w:rsidRPr="00B254CF">
        <w:rPr>
          <w:rFonts w:cs="Arial"/>
        </w:rPr>
        <w:t xml:space="preserve"> of:</w:t>
      </w:r>
    </w:p>
    <w:p w:rsidR="000C17BA" w:rsidRPr="00B254CF" w:rsidRDefault="000C17BA">
      <w:pPr>
        <w:numPr>
          <w:ilvl w:val="0"/>
          <w:numId w:val="2"/>
        </w:numPr>
        <w:jc w:val="both"/>
        <w:rPr>
          <w:rFonts w:cs="Arial"/>
        </w:rPr>
      </w:pPr>
      <w:proofErr w:type="spellStart"/>
      <w:r w:rsidRPr="00B254CF">
        <w:rPr>
          <w:rFonts w:cs="Arial"/>
        </w:rPr>
        <w:t>moving</w:t>
      </w:r>
      <w:proofErr w:type="spellEnd"/>
      <w:r w:rsidRPr="00B254CF">
        <w:rPr>
          <w:rFonts w:cs="Arial"/>
        </w:rPr>
        <w:t xml:space="preserve"> </w:t>
      </w:r>
      <w:proofErr w:type="spellStart"/>
      <w:r w:rsidRPr="00B254CF">
        <w:rPr>
          <w:rFonts w:cs="Arial"/>
        </w:rPr>
        <w:t>the</w:t>
      </w:r>
      <w:proofErr w:type="spellEnd"/>
      <w:r w:rsidRPr="00B254CF">
        <w:rPr>
          <w:rFonts w:cs="Arial"/>
        </w:rPr>
        <w:t xml:space="preserve"> </w:t>
      </w:r>
      <w:proofErr w:type="spellStart"/>
      <w:r w:rsidRPr="00B254CF">
        <w:rPr>
          <w:rFonts w:cs="Arial"/>
        </w:rPr>
        <w:t>reference</w:t>
      </w:r>
      <w:proofErr w:type="spellEnd"/>
      <w:r w:rsidRPr="00B254CF">
        <w:rPr>
          <w:rFonts w:cs="Arial"/>
        </w:rPr>
        <w:t xml:space="preserve"> </w:t>
      </w:r>
      <w:proofErr w:type="spellStart"/>
      <w:r w:rsidRPr="00B254CF">
        <w:rPr>
          <w:rFonts w:cs="Arial"/>
        </w:rPr>
        <w:t>period</w:t>
      </w:r>
      <w:proofErr w:type="spellEnd"/>
      <w:r w:rsidRPr="00B254CF">
        <w:rPr>
          <w:rFonts w:cs="Arial"/>
        </w:rPr>
        <w:t xml:space="preserve"> (to </w:t>
      </w:r>
      <w:proofErr w:type="spellStart"/>
      <w:r w:rsidRPr="00B254CF">
        <w:rPr>
          <w:rFonts w:cs="Arial"/>
        </w:rPr>
        <w:t>the</w:t>
      </w:r>
      <w:proofErr w:type="spellEnd"/>
      <w:r w:rsidRPr="00B254CF">
        <w:rPr>
          <w:rFonts w:cs="Arial"/>
        </w:rPr>
        <w:t xml:space="preserve"> </w:t>
      </w:r>
      <w:proofErr w:type="spellStart"/>
      <w:r w:rsidRPr="00B254CF">
        <w:rPr>
          <w:rFonts w:cs="Arial"/>
        </w:rPr>
        <w:t>year</w:t>
      </w:r>
      <w:proofErr w:type="spellEnd"/>
      <w:r w:rsidRPr="00B254CF">
        <w:rPr>
          <w:rFonts w:cs="Arial"/>
        </w:rPr>
        <w:t xml:space="preserve"> of 20</w:t>
      </w:r>
      <w:r w:rsidR="009132B5" w:rsidRPr="00B254CF">
        <w:rPr>
          <w:rFonts w:cs="Arial"/>
        </w:rPr>
        <w:t>1</w:t>
      </w:r>
      <w:r w:rsidR="00F9589A" w:rsidRPr="00B254CF">
        <w:rPr>
          <w:rFonts w:cs="Arial"/>
        </w:rPr>
        <w:t>5</w:t>
      </w:r>
      <w:r w:rsidRPr="00B254CF">
        <w:rPr>
          <w:rFonts w:cs="Arial"/>
        </w:rPr>
        <w:t xml:space="preserve">, </w:t>
      </w:r>
      <w:proofErr w:type="spellStart"/>
      <w:r w:rsidRPr="00B254CF">
        <w:rPr>
          <w:rFonts w:cs="Arial"/>
        </w:rPr>
        <w:t>from</w:t>
      </w:r>
      <w:proofErr w:type="spellEnd"/>
      <w:r w:rsidRPr="00B254CF">
        <w:rPr>
          <w:rFonts w:cs="Arial"/>
        </w:rPr>
        <w:t xml:space="preserve"> 20</w:t>
      </w:r>
      <w:r w:rsidR="009132B5" w:rsidRPr="00B254CF">
        <w:rPr>
          <w:rFonts w:cs="Arial"/>
        </w:rPr>
        <w:t>1</w:t>
      </w:r>
      <w:r w:rsidR="00F9589A" w:rsidRPr="00B254CF">
        <w:rPr>
          <w:rFonts w:cs="Arial"/>
        </w:rPr>
        <w:t>8</w:t>
      </w:r>
      <w:r w:rsidRPr="00B254CF">
        <w:rPr>
          <w:rFonts w:cs="Arial"/>
        </w:rPr>
        <w:t xml:space="preserve"> </w:t>
      </w:r>
      <w:proofErr w:type="spellStart"/>
      <w:r w:rsidRPr="00B254CF">
        <w:rPr>
          <w:rFonts w:cs="Arial"/>
        </w:rPr>
        <w:t>onwards</w:t>
      </w:r>
      <w:proofErr w:type="spellEnd"/>
      <w:r w:rsidRPr="00B254CF">
        <w:rPr>
          <w:rFonts w:cs="Arial"/>
        </w:rPr>
        <w:t xml:space="preserve">, </w:t>
      </w:r>
      <w:proofErr w:type="spellStart"/>
      <w:r w:rsidRPr="00B254CF">
        <w:rPr>
          <w:rFonts w:cs="Arial"/>
        </w:rPr>
        <w:t>before</w:t>
      </w:r>
      <w:proofErr w:type="spellEnd"/>
      <w:r w:rsidRPr="00B254CF">
        <w:rPr>
          <w:rFonts w:cs="Arial"/>
        </w:rPr>
        <w:t xml:space="preserve"> </w:t>
      </w:r>
      <w:proofErr w:type="spellStart"/>
      <w:r w:rsidRPr="00B254CF">
        <w:rPr>
          <w:rFonts w:cs="Arial"/>
        </w:rPr>
        <w:t>prices</w:t>
      </w:r>
      <w:proofErr w:type="spellEnd"/>
      <w:r w:rsidRPr="00B254CF">
        <w:rPr>
          <w:rFonts w:cs="Arial"/>
        </w:rPr>
        <w:t xml:space="preserve"> </w:t>
      </w:r>
      <w:proofErr w:type="spellStart"/>
      <w:r w:rsidRPr="00B254CF">
        <w:rPr>
          <w:rFonts w:cs="Arial"/>
        </w:rPr>
        <w:t>were</w:t>
      </w:r>
      <w:proofErr w:type="spellEnd"/>
      <w:r w:rsidRPr="00B254CF">
        <w:rPr>
          <w:rFonts w:cs="Arial"/>
        </w:rPr>
        <w:t xml:space="preserve"> </w:t>
      </w:r>
      <w:proofErr w:type="spellStart"/>
      <w:r w:rsidRPr="00B254CF">
        <w:rPr>
          <w:rFonts w:cs="Arial"/>
        </w:rPr>
        <w:t>compared</w:t>
      </w:r>
      <w:proofErr w:type="spellEnd"/>
      <w:r w:rsidRPr="00B254CF">
        <w:rPr>
          <w:rFonts w:cs="Arial"/>
        </w:rPr>
        <w:t xml:space="preserve"> </w:t>
      </w:r>
      <w:proofErr w:type="spellStart"/>
      <w:r w:rsidRPr="00B254CF">
        <w:rPr>
          <w:rFonts w:cs="Arial"/>
        </w:rPr>
        <w:t>with</w:t>
      </w:r>
      <w:proofErr w:type="spellEnd"/>
      <w:r w:rsidRPr="00B254CF">
        <w:rPr>
          <w:rFonts w:cs="Arial"/>
        </w:rPr>
        <w:t xml:space="preserve"> </w:t>
      </w:r>
      <w:proofErr w:type="spellStart"/>
      <w:r w:rsidRPr="00B254CF">
        <w:rPr>
          <w:rFonts w:cs="Arial"/>
        </w:rPr>
        <w:t>the</w:t>
      </w:r>
      <w:proofErr w:type="spellEnd"/>
      <w:r w:rsidRPr="00B254CF">
        <w:rPr>
          <w:rFonts w:cs="Arial"/>
        </w:rPr>
        <w:t xml:space="preserve"> </w:t>
      </w:r>
      <w:proofErr w:type="spellStart"/>
      <w:r w:rsidRPr="00B254CF">
        <w:rPr>
          <w:rFonts w:cs="Arial"/>
        </w:rPr>
        <w:t>year</w:t>
      </w:r>
      <w:proofErr w:type="spellEnd"/>
      <w:r w:rsidRPr="00B254CF">
        <w:rPr>
          <w:rFonts w:cs="Arial"/>
        </w:rPr>
        <w:t xml:space="preserve"> 20</w:t>
      </w:r>
      <w:r w:rsidR="00F9589A" w:rsidRPr="00B254CF">
        <w:rPr>
          <w:rFonts w:cs="Arial"/>
        </w:rPr>
        <w:t>10</w:t>
      </w:r>
      <w:r w:rsidRPr="00B254CF">
        <w:rPr>
          <w:rFonts w:cs="Arial"/>
        </w:rPr>
        <w:t>),</w:t>
      </w:r>
    </w:p>
    <w:p w:rsidR="000C17BA" w:rsidRPr="00B254CF" w:rsidRDefault="000C17BA">
      <w:pPr>
        <w:numPr>
          <w:ilvl w:val="0"/>
          <w:numId w:val="2"/>
        </w:numPr>
        <w:jc w:val="both"/>
        <w:rPr>
          <w:rFonts w:cs="Arial"/>
        </w:rPr>
      </w:pPr>
      <w:proofErr w:type="spellStart"/>
      <w:r w:rsidRPr="00B254CF">
        <w:rPr>
          <w:rFonts w:cs="Arial"/>
        </w:rPr>
        <w:t>changing</w:t>
      </w:r>
      <w:proofErr w:type="spellEnd"/>
      <w:r w:rsidRPr="00B254CF">
        <w:rPr>
          <w:rFonts w:cs="Arial"/>
        </w:rPr>
        <w:t xml:space="preserve"> </w:t>
      </w:r>
      <w:proofErr w:type="spellStart"/>
      <w:r w:rsidRPr="00B254CF">
        <w:rPr>
          <w:rFonts w:cs="Arial"/>
        </w:rPr>
        <w:t>the</w:t>
      </w:r>
      <w:proofErr w:type="spellEnd"/>
      <w:r w:rsidRPr="00B254CF">
        <w:rPr>
          <w:rFonts w:cs="Arial"/>
        </w:rPr>
        <w:t xml:space="preserve"> </w:t>
      </w:r>
      <w:proofErr w:type="spellStart"/>
      <w:r w:rsidRPr="00B254CF">
        <w:rPr>
          <w:rFonts w:cs="Arial"/>
        </w:rPr>
        <w:t>weighting</w:t>
      </w:r>
      <w:proofErr w:type="spellEnd"/>
      <w:r w:rsidRPr="00B254CF">
        <w:rPr>
          <w:rFonts w:cs="Arial"/>
        </w:rPr>
        <w:t xml:space="preserve"> </w:t>
      </w:r>
      <w:proofErr w:type="spellStart"/>
      <w:r w:rsidRPr="00B254CF">
        <w:rPr>
          <w:rFonts w:cs="Arial"/>
        </w:rPr>
        <w:t>system</w:t>
      </w:r>
      <w:proofErr w:type="spellEnd"/>
      <w:r w:rsidRPr="00B254CF">
        <w:rPr>
          <w:rFonts w:cs="Arial"/>
        </w:rPr>
        <w:t xml:space="preserve"> (</w:t>
      </w:r>
      <w:proofErr w:type="spellStart"/>
      <w:r w:rsidRPr="00B254CF">
        <w:rPr>
          <w:rFonts w:cs="Arial"/>
        </w:rPr>
        <w:t>before</w:t>
      </w:r>
      <w:proofErr w:type="spellEnd"/>
      <w:r w:rsidRPr="00B254CF">
        <w:rPr>
          <w:rFonts w:cs="Arial"/>
        </w:rPr>
        <w:t xml:space="preserve"> </w:t>
      </w:r>
      <w:proofErr w:type="spellStart"/>
      <w:r w:rsidRPr="00B254CF">
        <w:rPr>
          <w:rFonts w:cs="Arial"/>
        </w:rPr>
        <w:t>it</w:t>
      </w:r>
      <w:proofErr w:type="spellEnd"/>
      <w:r w:rsidRPr="00B254CF">
        <w:rPr>
          <w:rFonts w:cs="Arial"/>
        </w:rPr>
        <w:t xml:space="preserve"> </w:t>
      </w:r>
      <w:proofErr w:type="spellStart"/>
      <w:r w:rsidRPr="00B254CF">
        <w:rPr>
          <w:rFonts w:cs="Arial"/>
        </w:rPr>
        <w:t>was</w:t>
      </w:r>
      <w:proofErr w:type="spellEnd"/>
      <w:r w:rsidRPr="00B254CF">
        <w:rPr>
          <w:rFonts w:cs="Arial"/>
        </w:rPr>
        <w:t xml:space="preserve"> </w:t>
      </w:r>
      <w:proofErr w:type="spellStart"/>
      <w:r w:rsidRPr="00B254CF">
        <w:rPr>
          <w:rFonts w:cs="Arial"/>
        </w:rPr>
        <w:t>based</w:t>
      </w:r>
      <w:proofErr w:type="spellEnd"/>
      <w:r w:rsidRPr="00B254CF">
        <w:rPr>
          <w:rFonts w:cs="Arial"/>
        </w:rPr>
        <w:t xml:space="preserve"> on </w:t>
      </w:r>
      <w:proofErr w:type="spellStart"/>
      <w:r w:rsidRPr="00B254CF">
        <w:rPr>
          <w:rFonts w:cs="Arial"/>
        </w:rPr>
        <w:t>monthly</w:t>
      </w:r>
      <w:proofErr w:type="spellEnd"/>
      <w:r w:rsidRPr="00B254CF">
        <w:rPr>
          <w:rFonts w:cs="Arial"/>
        </w:rPr>
        <w:t xml:space="preserve"> </w:t>
      </w:r>
      <w:proofErr w:type="spellStart"/>
      <w:r w:rsidRPr="00B254CF">
        <w:rPr>
          <w:rFonts w:cs="Arial"/>
        </w:rPr>
        <w:t>averaging</w:t>
      </w:r>
      <w:proofErr w:type="spellEnd"/>
      <w:r w:rsidRPr="00B254CF">
        <w:rPr>
          <w:rFonts w:cs="Arial"/>
        </w:rPr>
        <w:t xml:space="preserve"> of  </w:t>
      </w:r>
      <w:proofErr w:type="spellStart"/>
      <w:r w:rsidRPr="00B254CF">
        <w:rPr>
          <w:rFonts w:cs="Arial"/>
        </w:rPr>
        <w:t>turnovers</w:t>
      </w:r>
      <w:proofErr w:type="spellEnd"/>
      <w:r w:rsidRPr="00B254CF">
        <w:rPr>
          <w:rFonts w:cs="Arial"/>
        </w:rPr>
        <w:t xml:space="preserve"> </w:t>
      </w:r>
      <w:proofErr w:type="spellStart"/>
      <w:r w:rsidRPr="00B254CF">
        <w:rPr>
          <w:rFonts w:cs="Arial"/>
        </w:rPr>
        <w:t>for</w:t>
      </w:r>
      <w:proofErr w:type="spellEnd"/>
      <w:r w:rsidRPr="00B254CF">
        <w:rPr>
          <w:rFonts w:cs="Arial"/>
        </w:rPr>
        <w:t xml:space="preserve"> </w:t>
      </w:r>
      <w:r w:rsidR="009132B5" w:rsidRPr="00B254CF">
        <w:rPr>
          <w:rFonts w:cs="Arial"/>
        </w:rPr>
        <w:t>20</w:t>
      </w:r>
      <w:r w:rsidR="00F9589A" w:rsidRPr="00B254CF">
        <w:rPr>
          <w:rFonts w:cs="Arial"/>
        </w:rPr>
        <w:t>09</w:t>
      </w:r>
      <w:r w:rsidR="009132B5" w:rsidRPr="00B254CF">
        <w:rPr>
          <w:rFonts w:cs="Arial"/>
        </w:rPr>
        <w:t>-</w:t>
      </w:r>
      <w:r w:rsidRPr="00B254CF">
        <w:rPr>
          <w:rFonts w:cs="Arial"/>
        </w:rPr>
        <w:t>20</w:t>
      </w:r>
      <w:r w:rsidR="00F9589A" w:rsidRPr="00B254CF">
        <w:rPr>
          <w:rFonts w:cs="Arial"/>
        </w:rPr>
        <w:t>11</w:t>
      </w:r>
      <w:r w:rsidRPr="00B254CF">
        <w:rPr>
          <w:rFonts w:cs="Arial"/>
        </w:rPr>
        <w:t xml:space="preserve">, </w:t>
      </w:r>
      <w:proofErr w:type="spellStart"/>
      <w:r w:rsidRPr="00B254CF">
        <w:rPr>
          <w:rFonts w:cs="Arial"/>
        </w:rPr>
        <w:t>now</w:t>
      </w:r>
      <w:proofErr w:type="spellEnd"/>
      <w:r w:rsidRPr="00B254CF">
        <w:rPr>
          <w:rFonts w:cs="Arial"/>
        </w:rPr>
        <w:t xml:space="preserve"> </w:t>
      </w:r>
      <w:proofErr w:type="spellStart"/>
      <w:r w:rsidRPr="00B254CF">
        <w:rPr>
          <w:rFonts w:cs="Arial"/>
        </w:rPr>
        <w:t>the</w:t>
      </w:r>
      <w:proofErr w:type="spellEnd"/>
      <w:r w:rsidRPr="00B254CF">
        <w:rPr>
          <w:rFonts w:cs="Arial"/>
        </w:rPr>
        <w:t xml:space="preserve"> </w:t>
      </w:r>
      <w:proofErr w:type="spellStart"/>
      <w:r w:rsidRPr="00B254CF">
        <w:rPr>
          <w:rFonts w:cs="Arial"/>
        </w:rPr>
        <w:t>period</w:t>
      </w:r>
      <w:proofErr w:type="spellEnd"/>
      <w:r w:rsidRPr="00B254CF">
        <w:rPr>
          <w:rFonts w:cs="Arial"/>
        </w:rPr>
        <w:t xml:space="preserve"> 20</w:t>
      </w:r>
      <w:r w:rsidR="00F9589A" w:rsidRPr="00B254CF">
        <w:rPr>
          <w:rFonts w:cs="Arial"/>
        </w:rPr>
        <w:t>14</w:t>
      </w:r>
      <w:r w:rsidRPr="00B254CF">
        <w:rPr>
          <w:rFonts w:cs="Arial"/>
        </w:rPr>
        <w:t>-20</w:t>
      </w:r>
      <w:r w:rsidR="009132B5" w:rsidRPr="00B254CF">
        <w:rPr>
          <w:rFonts w:cs="Arial"/>
        </w:rPr>
        <w:t>1</w:t>
      </w:r>
      <w:r w:rsidR="00F9589A" w:rsidRPr="00B254CF">
        <w:rPr>
          <w:rFonts w:cs="Arial"/>
        </w:rPr>
        <w:t>6</w:t>
      </w:r>
      <w:r w:rsidRPr="00B254CF">
        <w:rPr>
          <w:rFonts w:cs="Arial"/>
        </w:rPr>
        <w:t xml:space="preserve"> </w:t>
      </w:r>
      <w:proofErr w:type="spellStart"/>
      <w:r w:rsidRPr="00B254CF">
        <w:rPr>
          <w:rFonts w:cs="Arial"/>
        </w:rPr>
        <w:t>is</w:t>
      </w:r>
      <w:proofErr w:type="spellEnd"/>
      <w:r w:rsidRPr="00B254CF">
        <w:rPr>
          <w:rFonts w:cs="Arial"/>
        </w:rPr>
        <w:t xml:space="preserve"> </w:t>
      </w:r>
      <w:proofErr w:type="spellStart"/>
      <w:r w:rsidRPr="00B254CF">
        <w:rPr>
          <w:rFonts w:cs="Arial"/>
        </w:rPr>
        <w:t>applied</w:t>
      </w:r>
      <w:proofErr w:type="spellEnd"/>
      <w:r w:rsidRPr="00B254CF">
        <w:rPr>
          <w:rFonts w:cs="Arial"/>
        </w:rPr>
        <w:t>),</w:t>
      </w:r>
    </w:p>
    <w:p w:rsidR="000C17BA" w:rsidRPr="00B254CF" w:rsidRDefault="000C17BA">
      <w:pPr>
        <w:numPr>
          <w:ilvl w:val="0"/>
          <w:numId w:val="2"/>
        </w:numPr>
        <w:jc w:val="both"/>
        <w:rPr>
          <w:rFonts w:cs="Arial"/>
        </w:rPr>
      </w:pPr>
      <w:proofErr w:type="spellStart"/>
      <w:r w:rsidRPr="00B254CF">
        <w:rPr>
          <w:rFonts w:cs="Arial"/>
        </w:rPr>
        <w:t>updating</w:t>
      </w:r>
      <w:proofErr w:type="spellEnd"/>
      <w:r w:rsidRPr="00B254CF">
        <w:rPr>
          <w:rFonts w:cs="Arial"/>
        </w:rPr>
        <w:t xml:space="preserve">, and </w:t>
      </w:r>
      <w:proofErr w:type="spellStart"/>
      <w:r w:rsidRPr="00B254CF">
        <w:rPr>
          <w:rFonts w:cs="Arial"/>
        </w:rPr>
        <w:t>extending</w:t>
      </w:r>
      <w:proofErr w:type="spellEnd"/>
      <w:r w:rsidRPr="00B254CF">
        <w:rPr>
          <w:rFonts w:cs="Arial"/>
        </w:rPr>
        <w:t xml:space="preserve"> </w:t>
      </w:r>
      <w:proofErr w:type="spellStart"/>
      <w:r w:rsidRPr="00B254CF">
        <w:rPr>
          <w:rFonts w:cs="Arial"/>
        </w:rPr>
        <w:t>the</w:t>
      </w:r>
      <w:proofErr w:type="spellEnd"/>
      <w:r w:rsidRPr="00B254CF">
        <w:rPr>
          <w:rFonts w:cs="Arial"/>
        </w:rPr>
        <w:t xml:space="preserve"> </w:t>
      </w:r>
      <w:proofErr w:type="spellStart"/>
      <w:r w:rsidRPr="00B254CF">
        <w:rPr>
          <w:rFonts w:cs="Arial"/>
        </w:rPr>
        <w:t>number</w:t>
      </w:r>
      <w:proofErr w:type="spellEnd"/>
      <w:r w:rsidRPr="00B254CF">
        <w:rPr>
          <w:rFonts w:cs="Arial"/>
        </w:rPr>
        <w:t xml:space="preserve"> of </w:t>
      </w:r>
      <w:proofErr w:type="spellStart"/>
      <w:r w:rsidRPr="00B254CF">
        <w:rPr>
          <w:rFonts w:cs="Arial"/>
        </w:rPr>
        <w:t>respondents</w:t>
      </w:r>
      <w:proofErr w:type="spellEnd"/>
      <w:r w:rsidRPr="00B254CF">
        <w:rPr>
          <w:rFonts w:cs="Arial"/>
        </w:rPr>
        <w:t xml:space="preserve">  to </w:t>
      </w:r>
      <w:proofErr w:type="spellStart"/>
      <w:r w:rsidRPr="00B254CF">
        <w:rPr>
          <w:rFonts w:cs="Arial"/>
        </w:rPr>
        <w:t>about</w:t>
      </w:r>
      <w:proofErr w:type="spellEnd"/>
      <w:r w:rsidRPr="00B254CF">
        <w:rPr>
          <w:rFonts w:cs="Arial"/>
        </w:rPr>
        <w:t xml:space="preserve"> 500.</w:t>
      </w:r>
    </w:p>
    <w:p w:rsidR="000C17BA" w:rsidRPr="00B254CF" w:rsidRDefault="000C17BA">
      <w:pPr>
        <w:ind w:firstLine="708"/>
        <w:jc w:val="both"/>
        <w:rPr>
          <w:rFonts w:cs="Arial"/>
        </w:rPr>
      </w:pPr>
    </w:p>
    <w:p w:rsidR="000C17BA" w:rsidRPr="00B254CF" w:rsidRDefault="000C17BA">
      <w:pPr>
        <w:ind w:firstLine="708"/>
        <w:jc w:val="both"/>
        <w:rPr>
          <w:rFonts w:cs="Arial"/>
        </w:rPr>
      </w:pPr>
      <w:proofErr w:type="spellStart"/>
      <w:r w:rsidRPr="00B254CF">
        <w:rPr>
          <w:rFonts w:cs="Arial"/>
        </w:rPr>
        <w:t>Prices</w:t>
      </w:r>
      <w:proofErr w:type="spellEnd"/>
      <w:r w:rsidRPr="00B254CF">
        <w:rPr>
          <w:rFonts w:cs="Arial"/>
        </w:rPr>
        <w:t xml:space="preserve"> of </w:t>
      </w:r>
      <w:proofErr w:type="spellStart"/>
      <w:r w:rsidRPr="00B254CF">
        <w:rPr>
          <w:rFonts w:cs="Arial"/>
        </w:rPr>
        <w:t>agricultural</w:t>
      </w:r>
      <w:proofErr w:type="spellEnd"/>
      <w:r w:rsidRPr="00B254CF">
        <w:rPr>
          <w:rFonts w:cs="Arial"/>
        </w:rPr>
        <w:t xml:space="preserve"> </w:t>
      </w:r>
      <w:proofErr w:type="spellStart"/>
      <w:r w:rsidRPr="00B254CF">
        <w:rPr>
          <w:rFonts w:cs="Arial"/>
        </w:rPr>
        <w:t>products</w:t>
      </w:r>
      <w:proofErr w:type="spellEnd"/>
      <w:r w:rsidRPr="00B254CF">
        <w:rPr>
          <w:rFonts w:cs="Arial"/>
        </w:rPr>
        <w:t xml:space="preserve"> are </w:t>
      </w:r>
      <w:proofErr w:type="spellStart"/>
      <w:r w:rsidRPr="00B254CF">
        <w:rPr>
          <w:rFonts w:cs="Arial"/>
        </w:rPr>
        <w:t>surveyed</w:t>
      </w:r>
      <w:proofErr w:type="spellEnd"/>
      <w:r w:rsidRPr="00B254CF">
        <w:rPr>
          <w:rFonts w:cs="Arial"/>
        </w:rPr>
        <w:t xml:space="preserve"> on a </w:t>
      </w:r>
      <w:proofErr w:type="spellStart"/>
      <w:r w:rsidRPr="00B254CF">
        <w:rPr>
          <w:rFonts w:cs="Arial"/>
        </w:rPr>
        <w:t>monthly</w:t>
      </w:r>
      <w:proofErr w:type="spellEnd"/>
      <w:r w:rsidRPr="00B254CF">
        <w:rPr>
          <w:rFonts w:cs="Arial"/>
        </w:rPr>
        <w:t xml:space="preserve"> </w:t>
      </w:r>
      <w:proofErr w:type="spellStart"/>
      <w:r w:rsidRPr="00B254CF">
        <w:rPr>
          <w:rFonts w:cs="Arial"/>
        </w:rPr>
        <w:t>basis</w:t>
      </w:r>
      <w:proofErr w:type="spellEnd"/>
      <w:r w:rsidRPr="00B254CF">
        <w:rPr>
          <w:rFonts w:cs="Arial"/>
        </w:rPr>
        <w:t xml:space="preserve"> by </w:t>
      </w:r>
      <w:proofErr w:type="spellStart"/>
      <w:r w:rsidRPr="00B254CF">
        <w:rPr>
          <w:rFonts w:cs="Arial"/>
        </w:rPr>
        <w:t>using</w:t>
      </w:r>
      <w:proofErr w:type="spellEnd"/>
      <w:r w:rsidRPr="00B254CF">
        <w:rPr>
          <w:rFonts w:cs="Arial"/>
        </w:rPr>
        <w:t xml:space="preserve"> </w:t>
      </w:r>
      <w:proofErr w:type="spellStart"/>
      <w:r w:rsidRPr="00B254CF">
        <w:rPr>
          <w:rFonts w:cs="Arial"/>
        </w:rPr>
        <w:t>the</w:t>
      </w:r>
      <w:proofErr w:type="spellEnd"/>
      <w:r w:rsidRPr="00B254CF">
        <w:rPr>
          <w:rFonts w:cs="Arial"/>
        </w:rPr>
        <w:t xml:space="preserve"> </w:t>
      </w:r>
      <w:proofErr w:type="spellStart"/>
      <w:r w:rsidRPr="00B254CF">
        <w:rPr>
          <w:rFonts w:cs="Arial"/>
        </w:rPr>
        <w:t>official</w:t>
      </w:r>
      <w:proofErr w:type="spellEnd"/>
      <w:r w:rsidRPr="00B254CF">
        <w:rPr>
          <w:rFonts w:cs="Arial"/>
        </w:rPr>
        <w:t xml:space="preserve"> </w:t>
      </w:r>
      <w:proofErr w:type="spellStart"/>
      <w:r w:rsidRPr="00B254CF">
        <w:rPr>
          <w:rFonts w:cs="Arial"/>
        </w:rPr>
        <w:t>statistical</w:t>
      </w:r>
      <w:proofErr w:type="spellEnd"/>
      <w:r w:rsidRPr="00B254CF">
        <w:rPr>
          <w:rFonts w:cs="Arial"/>
        </w:rPr>
        <w:t xml:space="preserve"> </w:t>
      </w:r>
      <w:proofErr w:type="spellStart"/>
      <w:r w:rsidRPr="00B254CF">
        <w:rPr>
          <w:rFonts w:cs="Arial"/>
        </w:rPr>
        <w:t>form</w:t>
      </w:r>
      <w:proofErr w:type="spellEnd"/>
      <w:r w:rsidRPr="00B254CF">
        <w:rPr>
          <w:rFonts w:cs="Arial"/>
        </w:rPr>
        <w:t xml:space="preserve"> “Ceny Poľ </w:t>
      </w:r>
      <w:r w:rsidR="009132B5" w:rsidRPr="00B254CF">
        <w:rPr>
          <w:rFonts w:cs="Arial"/>
        </w:rPr>
        <w:t xml:space="preserve">NC </w:t>
      </w:r>
      <w:r w:rsidRPr="00B254CF">
        <w:rPr>
          <w:rFonts w:cs="Arial"/>
        </w:rPr>
        <w:t xml:space="preserve">1-12” </w:t>
      </w:r>
      <w:proofErr w:type="spellStart"/>
      <w:r w:rsidRPr="00B254CF">
        <w:rPr>
          <w:rFonts w:cs="Arial"/>
        </w:rPr>
        <w:t>for</w:t>
      </w:r>
      <w:proofErr w:type="spellEnd"/>
      <w:r w:rsidRPr="00B254CF">
        <w:rPr>
          <w:rFonts w:cs="Arial"/>
        </w:rPr>
        <w:t xml:space="preserve"> </w:t>
      </w:r>
      <w:proofErr w:type="spellStart"/>
      <w:r w:rsidRPr="00B254CF">
        <w:rPr>
          <w:rFonts w:cs="Arial"/>
        </w:rPr>
        <w:t>selected</w:t>
      </w:r>
      <w:proofErr w:type="spellEnd"/>
      <w:r w:rsidRPr="00B254CF">
        <w:rPr>
          <w:rFonts w:cs="Arial"/>
        </w:rPr>
        <w:t xml:space="preserve"> </w:t>
      </w:r>
      <w:proofErr w:type="spellStart"/>
      <w:r w:rsidRPr="00B254CF">
        <w:rPr>
          <w:rFonts w:cs="Arial"/>
        </w:rPr>
        <w:t>agricultural</w:t>
      </w:r>
      <w:proofErr w:type="spellEnd"/>
      <w:r w:rsidRPr="00B254CF">
        <w:rPr>
          <w:rFonts w:cs="Arial"/>
        </w:rPr>
        <w:t xml:space="preserve"> </w:t>
      </w:r>
      <w:proofErr w:type="spellStart"/>
      <w:r w:rsidRPr="00B254CF">
        <w:rPr>
          <w:rFonts w:cs="Arial"/>
        </w:rPr>
        <w:t>products</w:t>
      </w:r>
      <w:proofErr w:type="spellEnd"/>
      <w:r w:rsidRPr="00B254CF">
        <w:rPr>
          <w:rFonts w:cs="Arial"/>
        </w:rPr>
        <w:t xml:space="preserve">, </w:t>
      </w:r>
      <w:proofErr w:type="spellStart"/>
      <w:r w:rsidRPr="00B254CF">
        <w:rPr>
          <w:rFonts w:cs="Arial"/>
        </w:rPr>
        <w:t>for</w:t>
      </w:r>
      <w:proofErr w:type="spellEnd"/>
      <w:r w:rsidRPr="00B254CF">
        <w:rPr>
          <w:rFonts w:cs="Arial"/>
        </w:rPr>
        <w:t xml:space="preserve"> </w:t>
      </w:r>
      <w:proofErr w:type="spellStart"/>
      <w:r w:rsidRPr="00B254CF">
        <w:rPr>
          <w:rFonts w:cs="Arial"/>
        </w:rPr>
        <w:t>all</w:t>
      </w:r>
      <w:proofErr w:type="spellEnd"/>
      <w:r w:rsidRPr="00B254CF">
        <w:rPr>
          <w:rFonts w:cs="Arial"/>
        </w:rPr>
        <w:t xml:space="preserve"> </w:t>
      </w:r>
      <w:proofErr w:type="spellStart"/>
      <w:r w:rsidRPr="00B254CF">
        <w:rPr>
          <w:rFonts w:cs="Arial"/>
        </w:rPr>
        <w:t>types</w:t>
      </w:r>
      <w:proofErr w:type="spellEnd"/>
      <w:r w:rsidRPr="00B254CF">
        <w:rPr>
          <w:rFonts w:cs="Arial"/>
        </w:rPr>
        <w:t xml:space="preserve"> of business </w:t>
      </w:r>
      <w:proofErr w:type="spellStart"/>
      <w:r w:rsidRPr="00B254CF">
        <w:rPr>
          <w:rFonts w:cs="Arial"/>
        </w:rPr>
        <w:t>ownership</w:t>
      </w:r>
      <w:proofErr w:type="spellEnd"/>
      <w:r w:rsidRPr="00B254CF">
        <w:rPr>
          <w:rFonts w:cs="Arial"/>
        </w:rPr>
        <w:t xml:space="preserve"> (</w:t>
      </w:r>
      <w:proofErr w:type="spellStart"/>
      <w:r w:rsidRPr="00B254CF">
        <w:rPr>
          <w:rFonts w:cs="Arial"/>
        </w:rPr>
        <w:t>i.e</w:t>
      </w:r>
      <w:proofErr w:type="spellEnd"/>
      <w:r w:rsidRPr="00B254CF">
        <w:rPr>
          <w:rFonts w:cs="Arial"/>
        </w:rPr>
        <w:t xml:space="preserve">. </w:t>
      </w:r>
      <w:proofErr w:type="spellStart"/>
      <w:r w:rsidRPr="00B254CF">
        <w:rPr>
          <w:rFonts w:cs="Arial"/>
        </w:rPr>
        <w:t>co-operatives</w:t>
      </w:r>
      <w:proofErr w:type="spellEnd"/>
      <w:r w:rsidRPr="00B254CF">
        <w:rPr>
          <w:rFonts w:cs="Arial"/>
        </w:rPr>
        <w:t>, state-</w:t>
      </w:r>
      <w:proofErr w:type="spellStart"/>
      <w:r w:rsidRPr="00B254CF">
        <w:rPr>
          <w:rFonts w:cs="Arial"/>
        </w:rPr>
        <w:t>funded</w:t>
      </w:r>
      <w:proofErr w:type="spellEnd"/>
      <w:r w:rsidRPr="00B254CF">
        <w:rPr>
          <w:rFonts w:cs="Arial"/>
        </w:rPr>
        <w:t xml:space="preserve"> </w:t>
      </w:r>
      <w:proofErr w:type="spellStart"/>
      <w:r w:rsidRPr="00B254CF">
        <w:rPr>
          <w:rFonts w:cs="Arial"/>
        </w:rPr>
        <w:t>organizations</w:t>
      </w:r>
      <w:proofErr w:type="spellEnd"/>
      <w:r w:rsidRPr="00B254CF">
        <w:rPr>
          <w:rFonts w:cs="Arial"/>
        </w:rPr>
        <w:t xml:space="preserve">, as </w:t>
      </w:r>
      <w:proofErr w:type="spellStart"/>
      <w:r w:rsidRPr="00B254CF">
        <w:rPr>
          <w:rFonts w:cs="Arial"/>
        </w:rPr>
        <w:t>well</w:t>
      </w:r>
      <w:proofErr w:type="spellEnd"/>
      <w:r w:rsidRPr="00B254CF">
        <w:rPr>
          <w:rFonts w:cs="Arial"/>
        </w:rPr>
        <w:t xml:space="preserve"> as </w:t>
      </w:r>
      <w:proofErr w:type="spellStart"/>
      <w:r w:rsidRPr="00B254CF">
        <w:rPr>
          <w:rFonts w:cs="Arial"/>
        </w:rPr>
        <w:t>private</w:t>
      </w:r>
      <w:proofErr w:type="spellEnd"/>
      <w:r w:rsidRPr="00B254CF">
        <w:rPr>
          <w:rFonts w:cs="Arial"/>
        </w:rPr>
        <w:t xml:space="preserve"> </w:t>
      </w:r>
      <w:proofErr w:type="spellStart"/>
      <w:r w:rsidRPr="00B254CF">
        <w:rPr>
          <w:rFonts w:cs="Arial"/>
        </w:rPr>
        <w:t>sole-proprietors</w:t>
      </w:r>
      <w:proofErr w:type="spellEnd"/>
      <w:r w:rsidRPr="00B254CF">
        <w:rPr>
          <w:rFonts w:cs="Arial"/>
        </w:rPr>
        <w:t>).</w:t>
      </w:r>
    </w:p>
    <w:p w:rsidR="000C17BA" w:rsidRPr="00B254CF" w:rsidRDefault="000C17BA">
      <w:pPr>
        <w:ind w:firstLine="708"/>
        <w:jc w:val="both"/>
        <w:rPr>
          <w:rFonts w:cs="Arial"/>
        </w:rPr>
      </w:pPr>
      <w:proofErr w:type="spellStart"/>
      <w:r w:rsidRPr="00B254CF">
        <w:rPr>
          <w:rFonts w:cs="Arial"/>
        </w:rPr>
        <w:t>Only</w:t>
      </w:r>
      <w:proofErr w:type="spellEnd"/>
      <w:r w:rsidRPr="00B254CF">
        <w:rPr>
          <w:rFonts w:cs="Arial"/>
        </w:rPr>
        <w:t xml:space="preserve"> </w:t>
      </w:r>
      <w:proofErr w:type="spellStart"/>
      <w:r w:rsidRPr="00B254CF">
        <w:rPr>
          <w:rFonts w:cs="Arial"/>
        </w:rPr>
        <w:t>the</w:t>
      </w:r>
      <w:proofErr w:type="spellEnd"/>
      <w:r w:rsidRPr="00B254CF">
        <w:rPr>
          <w:rFonts w:cs="Arial"/>
        </w:rPr>
        <w:t xml:space="preserve"> </w:t>
      </w:r>
      <w:proofErr w:type="spellStart"/>
      <w:r w:rsidRPr="00B254CF">
        <w:rPr>
          <w:rFonts w:cs="Arial"/>
        </w:rPr>
        <w:t>main</w:t>
      </w:r>
      <w:proofErr w:type="spellEnd"/>
      <w:r w:rsidRPr="00B254CF">
        <w:rPr>
          <w:rFonts w:cs="Arial"/>
        </w:rPr>
        <w:t xml:space="preserve"> </w:t>
      </w:r>
      <w:proofErr w:type="spellStart"/>
      <w:r w:rsidRPr="00B254CF">
        <w:rPr>
          <w:rFonts w:cs="Arial"/>
        </w:rPr>
        <w:t>agricultural</w:t>
      </w:r>
      <w:proofErr w:type="spellEnd"/>
      <w:r w:rsidRPr="00B254CF">
        <w:rPr>
          <w:rFonts w:cs="Arial"/>
        </w:rPr>
        <w:t xml:space="preserve"> </w:t>
      </w:r>
      <w:proofErr w:type="spellStart"/>
      <w:r w:rsidRPr="00B254CF">
        <w:rPr>
          <w:rFonts w:cs="Arial"/>
        </w:rPr>
        <w:t>products</w:t>
      </w:r>
      <w:proofErr w:type="spellEnd"/>
      <w:r w:rsidRPr="00B254CF">
        <w:rPr>
          <w:rFonts w:cs="Arial"/>
        </w:rPr>
        <w:t xml:space="preserve"> in </w:t>
      </w:r>
      <w:proofErr w:type="spellStart"/>
      <w:r w:rsidRPr="00B254CF">
        <w:rPr>
          <w:rFonts w:cs="Arial"/>
        </w:rPr>
        <w:t>specified</w:t>
      </w:r>
      <w:proofErr w:type="spellEnd"/>
      <w:r w:rsidRPr="00B254CF">
        <w:rPr>
          <w:rFonts w:cs="Arial"/>
        </w:rPr>
        <w:t xml:space="preserve"> </w:t>
      </w:r>
      <w:proofErr w:type="spellStart"/>
      <w:r w:rsidRPr="00B254CF">
        <w:rPr>
          <w:rFonts w:cs="Arial"/>
        </w:rPr>
        <w:t>quality</w:t>
      </w:r>
      <w:proofErr w:type="spellEnd"/>
      <w:r w:rsidRPr="00B254CF">
        <w:rPr>
          <w:rFonts w:cs="Arial"/>
        </w:rPr>
        <w:t xml:space="preserve"> </w:t>
      </w:r>
      <w:proofErr w:type="spellStart"/>
      <w:r w:rsidRPr="00B254CF">
        <w:rPr>
          <w:rFonts w:cs="Arial"/>
        </w:rPr>
        <w:t>categories</w:t>
      </w:r>
      <w:proofErr w:type="spellEnd"/>
      <w:r w:rsidRPr="00B254CF">
        <w:rPr>
          <w:rFonts w:cs="Arial"/>
        </w:rPr>
        <w:t xml:space="preserve"> </w:t>
      </w:r>
      <w:proofErr w:type="spellStart"/>
      <w:r w:rsidRPr="00B254CF">
        <w:rPr>
          <w:rFonts w:cs="Arial"/>
        </w:rPr>
        <w:t>were</w:t>
      </w:r>
      <w:proofErr w:type="spellEnd"/>
      <w:r w:rsidRPr="00B254CF">
        <w:rPr>
          <w:rFonts w:cs="Arial"/>
        </w:rPr>
        <w:t xml:space="preserve"> </w:t>
      </w:r>
      <w:proofErr w:type="spellStart"/>
      <w:r w:rsidRPr="00B254CF">
        <w:rPr>
          <w:rFonts w:cs="Arial"/>
        </w:rPr>
        <w:t>selected</w:t>
      </w:r>
      <w:proofErr w:type="spellEnd"/>
      <w:r w:rsidRPr="00B254CF">
        <w:rPr>
          <w:rFonts w:cs="Arial"/>
        </w:rPr>
        <w:t xml:space="preserve"> </w:t>
      </w:r>
      <w:proofErr w:type="spellStart"/>
      <w:r w:rsidRPr="00B254CF">
        <w:rPr>
          <w:rFonts w:cs="Arial"/>
        </w:rPr>
        <w:t>for</w:t>
      </w:r>
      <w:proofErr w:type="spellEnd"/>
      <w:r w:rsidRPr="00B254CF">
        <w:rPr>
          <w:rFonts w:cs="Arial"/>
        </w:rPr>
        <w:t xml:space="preserve"> </w:t>
      </w:r>
      <w:proofErr w:type="spellStart"/>
      <w:r w:rsidRPr="00B254CF">
        <w:rPr>
          <w:rFonts w:cs="Arial"/>
        </w:rPr>
        <w:t>price</w:t>
      </w:r>
      <w:proofErr w:type="spellEnd"/>
      <w:r w:rsidRPr="00B254CF">
        <w:rPr>
          <w:rFonts w:cs="Arial"/>
        </w:rPr>
        <w:t xml:space="preserve"> </w:t>
      </w:r>
      <w:proofErr w:type="spellStart"/>
      <w:r w:rsidRPr="00B254CF">
        <w:rPr>
          <w:rFonts w:cs="Arial"/>
        </w:rPr>
        <w:t>survey</w:t>
      </w:r>
      <w:proofErr w:type="spellEnd"/>
      <w:r w:rsidRPr="00B254CF">
        <w:rPr>
          <w:rFonts w:cs="Arial"/>
        </w:rPr>
        <w:t xml:space="preserve">. </w:t>
      </w:r>
      <w:proofErr w:type="spellStart"/>
      <w:r w:rsidRPr="00B254CF">
        <w:rPr>
          <w:rFonts w:cs="Arial"/>
        </w:rPr>
        <w:t>Crop</w:t>
      </w:r>
      <w:proofErr w:type="spellEnd"/>
      <w:r w:rsidRPr="00B254CF">
        <w:rPr>
          <w:rFonts w:cs="Arial"/>
        </w:rPr>
        <w:t xml:space="preserve"> </w:t>
      </w:r>
      <w:proofErr w:type="spellStart"/>
      <w:r w:rsidRPr="00B254CF">
        <w:rPr>
          <w:rFonts w:cs="Arial"/>
        </w:rPr>
        <w:t>products</w:t>
      </w:r>
      <w:proofErr w:type="spellEnd"/>
      <w:r w:rsidRPr="00B254CF">
        <w:rPr>
          <w:rFonts w:cs="Arial"/>
        </w:rPr>
        <w:t xml:space="preserve"> </w:t>
      </w:r>
      <w:proofErr w:type="spellStart"/>
      <w:r w:rsidRPr="00B254CF">
        <w:rPr>
          <w:rFonts w:cs="Arial"/>
        </w:rPr>
        <w:t>including</w:t>
      </w:r>
      <w:proofErr w:type="spellEnd"/>
      <w:r w:rsidRPr="00B254CF">
        <w:rPr>
          <w:rFonts w:cs="Arial"/>
        </w:rPr>
        <w:t xml:space="preserve"> </w:t>
      </w:r>
      <w:proofErr w:type="spellStart"/>
      <w:r w:rsidRPr="00B254CF">
        <w:rPr>
          <w:rFonts w:cs="Arial"/>
        </w:rPr>
        <w:t>fruit</w:t>
      </w:r>
      <w:proofErr w:type="spellEnd"/>
      <w:r w:rsidRPr="00B254CF">
        <w:rPr>
          <w:rFonts w:cs="Arial"/>
        </w:rPr>
        <w:t xml:space="preserve"> and </w:t>
      </w:r>
      <w:proofErr w:type="spellStart"/>
      <w:r w:rsidRPr="00B254CF">
        <w:rPr>
          <w:rFonts w:cs="Arial"/>
        </w:rPr>
        <w:t>vegetables</w:t>
      </w:r>
      <w:proofErr w:type="spellEnd"/>
      <w:r w:rsidRPr="00B254CF">
        <w:rPr>
          <w:rFonts w:cs="Arial"/>
        </w:rPr>
        <w:t xml:space="preserve"> and </w:t>
      </w:r>
      <w:proofErr w:type="spellStart"/>
      <w:r w:rsidRPr="00B254CF">
        <w:rPr>
          <w:rFonts w:cs="Arial"/>
        </w:rPr>
        <w:t>animal</w:t>
      </w:r>
      <w:proofErr w:type="spellEnd"/>
      <w:r w:rsidRPr="00B254CF">
        <w:rPr>
          <w:rFonts w:cs="Arial"/>
        </w:rPr>
        <w:t xml:space="preserve"> </w:t>
      </w:r>
      <w:proofErr w:type="spellStart"/>
      <w:r w:rsidRPr="00B254CF">
        <w:rPr>
          <w:rFonts w:cs="Arial"/>
        </w:rPr>
        <w:t>products</w:t>
      </w:r>
      <w:proofErr w:type="spellEnd"/>
      <w:r w:rsidRPr="00B254CF">
        <w:rPr>
          <w:rFonts w:cs="Arial"/>
        </w:rPr>
        <w:t xml:space="preserve"> </w:t>
      </w:r>
      <w:proofErr w:type="spellStart"/>
      <w:r w:rsidRPr="00B254CF">
        <w:rPr>
          <w:rFonts w:cs="Arial"/>
        </w:rPr>
        <w:t>including</w:t>
      </w:r>
      <w:proofErr w:type="spellEnd"/>
      <w:r w:rsidRPr="00B254CF">
        <w:rPr>
          <w:rFonts w:cs="Arial"/>
        </w:rPr>
        <w:t xml:space="preserve"> </w:t>
      </w:r>
      <w:proofErr w:type="spellStart"/>
      <w:r w:rsidRPr="00B254CF">
        <w:rPr>
          <w:rFonts w:cs="Arial"/>
        </w:rPr>
        <w:t>fishes</w:t>
      </w:r>
      <w:proofErr w:type="spellEnd"/>
      <w:r w:rsidRPr="00B254CF">
        <w:rPr>
          <w:rFonts w:cs="Arial"/>
        </w:rPr>
        <w:t xml:space="preserve"> are </w:t>
      </w:r>
      <w:proofErr w:type="spellStart"/>
      <w:r w:rsidRPr="00B254CF">
        <w:rPr>
          <w:rFonts w:cs="Arial"/>
        </w:rPr>
        <w:t>included</w:t>
      </w:r>
      <w:proofErr w:type="spellEnd"/>
      <w:r w:rsidRPr="00B254CF">
        <w:rPr>
          <w:rFonts w:cs="Arial"/>
        </w:rPr>
        <w:t xml:space="preserve"> in </w:t>
      </w:r>
      <w:proofErr w:type="spellStart"/>
      <w:r w:rsidRPr="00B254CF">
        <w:rPr>
          <w:rFonts w:cs="Arial"/>
        </w:rPr>
        <w:t>the</w:t>
      </w:r>
      <w:proofErr w:type="spellEnd"/>
      <w:r w:rsidRPr="00B254CF">
        <w:rPr>
          <w:rFonts w:cs="Arial"/>
        </w:rPr>
        <w:t xml:space="preserve"> </w:t>
      </w:r>
      <w:proofErr w:type="spellStart"/>
      <w:r w:rsidRPr="00B254CF">
        <w:rPr>
          <w:rFonts w:cs="Arial"/>
        </w:rPr>
        <w:t>questionnaire</w:t>
      </w:r>
      <w:proofErr w:type="spellEnd"/>
      <w:r w:rsidRPr="00B254CF">
        <w:rPr>
          <w:rFonts w:cs="Arial"/>
        </w:rPr>
        <w:t>.</w:t>
      </w:r>
    </w:p>
    <w:p w:rsidR="000C17BA" w:rsidRPr="00B254CF" w:rsidRDefault="000C17BA">
      <w:pPr>
        <w:jc w:val="both"/>
        <w:rPr>
          <w:rFonts w:cs="Arial"/>
        </w:rPr>
      </w:pPr>
      <w:r w:rsidRPr="00B254CF">
        <w:rPr>
          <w:rFonts w:cs="Arial"/>
        </w:rPr>
        <w:t xml:space="preserve">     </w:t>
      </w:r>
      <w:proofErr w:type="spellStart"/>
      <w:r w:rsidRPr="00B254CF">
        <w:rPr>
          <w:rFonts w:cs="Arial"/>
        </w:rPr>
        <w:t>The</w:t>
      </w:r>
      <w:proofErr w:type="spellEnd"/>
      <w:r w:rsidRPr="00B254CF">
        <w:rPr>
          <w:rFonts w:cs="Arial"/>
        </w:rPr>
        <w:t xml:space="preserve"> </w:t>
      </w:r>
      <w:proofErr w:type="spellStart"/>
      <w:r w:rsidRPr="00B254CF">
        <w:rPr>
          <w:rFonts w:cs="Arial"/>
        </w:rPr>
        <w:t>prices</w:t>
      </w:r>
      <w:proofErr w:type="spellEnd"/>
      <w:r w:rsidRPr="00B254CF">
        <w:rPr>
          <w:rFonts w:cs="Arial"/>
        </w:rPr>
        <w:t xml:space="preserve"> are </w:t>
      </w:r>
      <w:proofErr w:type="spellStart"/>
      <w:r w:rsidRPr="00B254CF">
        <w:rPr>
          <w:rFonts w:cs="Arial"/>
        </w:rPr>
        <w:t>surveyed</w:t>
      </w:r>
      <w:proofErr w:type="spellEnd"/>
      <w:r w:rsidRPr="00B254CF">
        <w:rPr>
          <w:rFonts w:cs="Arial"/>
        </w:rPr>
        <w:t xml:space="preserve"> as a </w:t>
      </w:r>
      <w:proofErr w:type="spellStart"/>
      <w:r w:rsidRPr="00B254CF">
        <w:rPr>
          <w:rFonts w:cs="Arial"/>
        </w:rPr>
        <w:t>non-weighted</w:t>
      </w:r>
      <w:proofErr w:type="spellEnd"/>
      <w:r w:rsidRPr="00B254CF">
        <w:rPr>
          <w:rFonts w:cs="Arial"/>
        </w:rPr>
        <w:t xml:space="preserve"> </w:t>
      </w:r>
      <w:proofErr w:type="spellStart"/>
      <w:r w:rsidRPr="00B254CF">
        <w:rPr>
          <w:rFonts w:cs="Arial"/>
        </w:rPr>
        <w:t>arithmetic</w:t>
      </w:r>
      <w:proofErr w:type="spellEnd"/>
      <w:r w:rsidRPr="00B254CF">
        <w:rPr>
          <w:rFonts w:cs="Arial"/>
        </w:rPr>
        <w:t xml:space="preserve"> </w:t>
      </w:r>
      <w:proofErr w:type="spellStart"/>
      <w:r w:rsidRPr="00B254CF">
        <w:rPr>
          <w:rFonts w:cs="Arial"/>
        </w:rPr>
        <w:t>average</w:t>
      </w:r>
      <w:proofErr w:type="spellEnd"/>
      <w:r w:rsidRPr="00B254CF">
        <w:rPr>
          <w:rFonts w:cs="Arial"/>
        </w:rPr>
        <w:t xml:space="preserve"> of </w:t>
      </w:r>
      <w:proofErr w:type="spellStart"/>
      <w:r w:rsidRPr="00B254CF">
        <w:rPr>
          <w:rFonts w:cs="Arial"/>
        </w:rPr>
        <w:t>prices</w:t>
      </w:r>
      <w:proofErr w:type="spellEnd"/>
      <w:r w:rsidRPr="00B254CF">
        <w:rPr>
          <w:rFonts w:cs="Arial"/>
        </w:rPr>
        <w:t xml:space="preserve"> of </w:t>
      </w:r>
      <w:proofErr w:type="spellStart"/>
      <w:r w:rsidRPr="00B254CF">
        <w:rPr>
          <w:rFonts w:cs="Arial"/>
        </w:rPr>
        <w:t>all</w:t>
      </w:r>
      <w:proofErr w:type="spellEnd"/>
      <w:r w:rsidRPr="00B254CF">
        <w:rPr>
          <w:rFonts w:cs="Arial"/>
        </w:rPr>
        <w:t xml:space="preserve"> major business </w:t>
      </w:r>
      <w:proofErr w:type="spellStart"/>
      <w:r w:rsidRPr="00B254CF">
        <w:rPr>
          <w:rFonts w:cs="Arial"/>
        </w:rPr>
        <w:t>cases</w:t>
      </w:r>
      <w:proofErr w:type="spellEnd"/>
      <w:r w:rsidRPr="00B254CF">
        <w:rPr>
          <w:rFonts w:cs="Arial"/>
        </w:rPr>
        <w:t xml:space="preserve"> of a </w:t>
      </w:r>
      <w:proofErr w:type="spellStart"/>
      <w:r w:rsidRPr="00B254CF">
        <w:rPr>
          <w:rFonts w:cs="Arial"/>
        </w:rPr>
        <w:t>given</w:t>
      </w:r>
      <w:proofErr w:type="spellEnd"/>
      <w:r w:rsidRPr="00B254CF">
        <w:rPr>
          <w:rFonts w:cs="Arial"/>
        </w:rPr>
        <w:t xml:space="preserve"> </w:t>
      </w:r>
      <w:proofErr w:type="spellStart"/>
      <w:r w:rsidRPr="00B254CF">
        <w:rPr>
          <w:rFonts w:cs="Arial"/>
        </w:rPr>
        <w:t>organization</w:t>
      </w:r>
      <w:proofErr w:type="spellEnd"/>
      <w:r w:rsidRPr="00B254CF">
        <w:rPr>
          <w:rFonts w:cs="Arial"/>
        </w:rPr>
        <w:t xml:space="preserve">, </w:t>
      </w:r>
      <w:proofErr w:type="spellStart"/>
      <w:r w:rsidRPr="00B254CF">
        <w:rPr>
          <w:rFonts w:cs="Arial"/>
        </w:rPr>
        <w:t>which</w:t>
      </w:r>
      <w:proofErr w:type="spellEnd"/>
      <w:r w:rsidRPr="00B254CF">
        <w:rPr>
          <w:rFonts w:cs="Arial"/>
        </w:rPr>
        <w:t xml:space="preserve"> </w:t>
      </w:r>
      <w:proofErr w:type="spellStart"/>
      <w:r w:rsidRPr="00B254CF">
        <w:rPr>
          <w:rFonts w:cs="Arial"/>
        </w:rPr>
        <w:t>were</w:t>
      </w:r>
      <w:proofErr w:type="spellEnd"/>
      <w:r w:rsidRPr="00B254CF">
        <w:rPr>
          <w:rFonts w:cs="Arial"/>
        </w:rPr>
        <w:t xml:space="preserve"> </w:t>
      </w:r>
      <w:proofErr w:type="spellStart"/>
      <w:r w:rsidRPr="00B254CF">
        <w:rPr>
          <w:rFonts w:cs="Arial"/>
        </w:rPr>
        <w:t>registered</w:t>
      </w:r>
      <w:proofErr w:type="spellEnd"/>
      <w:r w:rsidRPr="00B254CF">
        <w:rPr>
          <w:rFonts w:cs="Arial"/>
        </w:rPr>
        <w:t xml:space="preserve"> </w:t>
      </w:r>
      <w:r w:rsidR="00F9589A" w:rsidRPr="00B254CF">
        <w:rPr>
          <w:rFonts w:cs="Arial"/>
        </w:rPr>
        <w:t>in</w:t>
      </w:r>
      <w:r w:rsidRPr="00B254CF">
        <w:rPr>
          <w:rFonts w:cs="Arial"/>
        </w:rPr>
        <w:t xml:space="preserve"> </w:t>
      </w:r>
      <w:proofErr w:type="spellStart"/>
      <w:r w:rsidRPr="00B254CF">
        <w:rPr>
          <w:rFonts w:cs="Arial"/>
        </w:rPr>
        <w:t>the</w:t>
      </w:r>
      <w:proofErr w:type="spellEnd"/>
      <w:r w:rsidRPr="00B254CF">
        <w:rPr>
          <w:rFonts w:cs="Arial"/>
        </w:rPr>
        <w:t xml:space="preserve"> </w:t>
      </w:r>
      <w:proofErr w:type="spellStart"/>
      <w:r w:rsidRPr="00B254CF">
        <w:rPr>
          <w:rFonts w:cs="Arial"/>
        </w:rPr>
        <w:t>calendar</w:t>
      </w:r>
      <w:proofErr w:type="spellEnd"/>
      <w:r w:rsidRPr="00B254CF">
        <w:rPr>
          <w:rFonts w:cs="Arial"/>
        </w:rPr>
        <w:t xml:space="preserve"> </w:t>
      </w:r>
      <w:proofErr w:type="spellStart"/>
      <w:r w:rsidRPr="00B254CF">
        <w:rPr>
          <w:rFonts w:cs="Arial"/>
        </w:rPr>
        <w:t>month</w:t>
      </w:r>
      <w:proofErr w:type="spellEnd"/>
      <w:r w:rsidRPr="00B254CF">
        <w:rPr>
          <w:rFonts w:cs="Arial"/>
        </w:rPr>
        <w:t xml:space="preserve">. </w:t>
      </w:r>
      <w:proofErr w:type="spellStart"/>
      <w:r w:rsidRPr="00B254CF">
        <w:rPr>
          <w:rFonts w:cs="Arial"/>
        </w:rPr>
        <w:t>The</w:t>
      </w:r>
      <w:proofErr w:type="spellEnd"/>
      <w:r w:rsidRPr="00B254CF">
        <w:rPr>
          <w:rFonts w:cs="Arial"/>
        </w:rPr>
        <w:t xml:space="preserve"> </w:t>
      </w:r>
      <w:proofErr w:type="spellStart"/>
      <w:r w:rsidRPr="00B254CF">
        <w:rPr>
          <w:rFonts w:cs="Arial"/>
        </w:rPr>
        <w:t>price</w:t>
      </w:r>
      <w:proofErr w:type="spellEnd"/>
      <w:r w:rsidRPr="00B254CF">
        <w:rPr>
          <w:rFonts w:cs="Arial"/>
        </w:rPr>
        <w:t xml:space="preserve"> </w:t>
      </w:r>
      <w:proofErr w:type="spellStart"/>
      <w:r w:rsidRPr="00B254CF">
        <w:rPr>
          <w:rFonts w:cs="Arial"/>
        </w:rPr>
        <w:t>presented</w:t>
      </w:r>
      <w:proofErr w:type="spellEnd"/>
      <w:r w:rsidRPr="00B254CF">
        <w:rPr>
          <w:rFonts w:cs="Arial"/>
        </w:rPr>
        <w:t xml:space="preserve"> </w:t>
      </w:r>
      <w:proofErr w:type="spellStart"/>
      <w:r w:rsidRPr="00B254CF">
        <w:rPr>
          <w:rFonts w:cs="Arial"/>
        </w:rPr>
        <w:t>does</w:t>
      </w:r>
      <w:proofErr w:type="spellEnd"/>
      <w:r w:rsidRPr="00B254CF">
        <w:rPr>
          <w:rFonts w:cs="Arial"/>
        </w:rPr>
        <w:t xml:space="preserve"> </w:t>
      </w:r>
      <w:proofErr w:type="spellStart"/>
      <w:r w:rsidRPr="00B254CF">
        <w:rPr>
          <w:rFonts w:cs="Arial"/>
        </w:rPr>
        <w:t>not</w:t>
      </w:r>
      <w:proofErr w:type="spellEnd"/>
      <w:r w:rsidRPr="00B254CF">
        <w:rPr>
          <w:rFonts w:cs="Arial"/>
        </w:rPr>
        <w:t xml:space="preserve"> </w:t>
      </w:r>
      <w:proofErr w:type="spellStart"/>
      <w:r w:rsidRPr="00B254CF">
        <w:rPr>
          <w:rFonts w:cs="Arial"/>
        </w:rPr>
        <w:t>include</w:t>
      </w:r>
      <w:proofErr w:type="spellEnd"/>
      <w:r w:rsidRPr="00B254CF">
        <w:rPr>
          <w:rFonts w:cs="Arial"/>
        </w:rPr>
        <w:t xml:space="preserve"> VAT. </w:t>
      </w:r>
      <w:proofErr w:type="spellStart"/>
      <w:r w:rsidRPr="00B254CF">
        <w:rPr>
          <w:rFonts w:cs="Arial"/>
        </w:rPr>
        <w:t>Besides</w:t>
      </w:r>
      <w:proofErr w:type="spellEnd"/>
      <w:r w:rsidRPr="00B254CF">
        <w:rPr>
          <w:rFonts w:cs="Arial"/>
        </w:rPr>
        <w:t xml:space="preserve"> </w:t>
      </w:r>
      <w:proofErr w:type="spellStart"/>
      <w:r w:rsidRPr="00B254CF">
        <w:rPr>
          <w:rFonts w:cs="Arial"/>
        </w:rPr>
        <w:t>this</w:t>
      </w:r>
      <w:proofErr w:type="spellEnd"/>
      <w:r w:rsidRPr="00B254CF">
        <w:rPr>
          <w:rFonts w:cs="Arial"/>
        </w:rPr>
        <w:t xml:space="preserve">, </w:t>
      </w:r>
      <w:proofErr w:type="spellStart"/>
      <w:r w:rsidRPr="00B254CF">
        <w:rPr>
          <w:rFonts w:cs="Arial"/>
        </w:rPr>
        <w:t>the</w:t>
      </w:r>
      <w:proofErr w:type="spellEnd"/>
      <w:r w:rsidRPr="00B254CF">
        <w:rPr>
          <w:rFonts w:cs="Arial"/>
        </w:rPr>
        <w:t xml:space="preserve"> </w:t>
      </w:r>
      <w:proofErr w:type="spellStart"/>
      <w:r w:rsidRPr="00B254CF">
        <w:rPr>
          <w:rFonts w:cs="Arial"/>
        </w:rPr>
        <w:t>respective</w:t>
      </w:r>
      <w:proofErr w:type="spellEnd"/>
      <w:r w:rsidRPr="00B254CF">
        <w:rPr>
          <w:rFonts w:cs="Arial"/>
        </w:rPr>
        <w:t xml:space="preserve"> </w:t>
      </w:r>
      <w:proofErr w:type="spellStart"/>
      <w:r w:rsidRPr="00B254CF">
        <w:rPr>
          <w:rFonts w:cs="Arial"/>
        </w:rPr>
        <w:t>official</w:t>
      </w:r>
      <w:proofErr w:type="spellEnd"/>
      <w:r w:rsidRPr="00B254CF">
        <w:rPr>
          <w:rFonts w:cs="Arial"/>
        </w:rPr>
        <w:t xml:space="preserve"> </w:t>
      </w:r>
      <w:proofErr w:type="spellStart"/>
      <w:r w:rsidRPr="00B254CF">
        <w:rPr>
          <w:rFonts w:cs="Arial"/>
        </w:rPr>
        <w:t>survey</w:t>
      </w:r>
      <w:proofErr w:type="spellEnd"/>
      <w:r w:rsidRPr="00B254CF">
        <w:rPr>
          <w:rFonts w:cs="Arial"/>
        </w:rPr>
        <w:t xml:space="preserve"> </w:t>
      </w:r>
      <w:proofErr w:type="spellStart"/>
      <w:r w:rsidRPr="00B254CF">
        <w:rPr>
          <w:rFonts w:cs="Arial"/>
        </w:rPr>
        <w:t>collects</w:t>
      </w:r>
      <w:proofErr w:type="spellEnd"/>
      <w:r w:rsidRPr="00B254CF">
        <w:rPr>
          <w:rFonts w:cs="Arial"/>
        </w:rPr>
        <w:t xml:space="preserve"> </w:t>
      </w:r>
      <w:proofErr w:type="spellStart"/>
      <w:r w:rsidRPr="00B254CF">
        <w:rPr>
          <w:rFonts w:cs="Arial"/>
        </w:rPr>
        <w:t>information</w:t>
      </w:r>
      <w:proofErr w:type="spellEnd"/>
      <w:r w:rsidRPr="00B254CF">
        <w:rPr>
          <w:rFonts w:cs="Arial"/>
        </w:rPr>
        <w:t xml:space="preserve"> on </w:t>
      </w:r>
      <w:proofErr w:type="spellStart"/>
      <w:r w:rsidRPr="00B254CF">
        <w:rPr>
          <w:rFonts w:cs="Arial"/>
        </w:rPr>
        <w:t>sales</w:t>
      </w:r>
      <w:proofErr w:type="spellEnd"/>
      <w:r w:rsidRPr="00B254CF">
        <w:rPr>
          <w:rFonts w:cs="Arial"/>
        </w:rPr>
        <w:t xml:space="preserve">, in </w:t>
      </w:r>
      <w:proofErr w:type="spellStart"/>
      <w:r w:rsidRPr="00B254CF">
        <w:rPr>
          <w:rFonts w:cs="Arial"/>
        </w:rPr>
        <w:t>terms</w:t>
      </w:r>
      <w:proofErr w:type="spellEnd"/>
      <w:r w:rsidRPr="00B254CF">
        <w:rPr>
          <w:rFonts w:cs="Arial"/>
        </w:rPr>
        <w:t xml:space="preserve"> of </w:t>
      </w:r>
      <w:proofErr w:type="spellStart"/>
      <w:r w:rsidRPr="00B254CF">
        <w:rPr>
          <w:rFonts w:cs="Arial"/>
        </w:rPr>
        <w:t>quantity</w:t>
      </w:r>
      <w:proofErr w:type="spellEnd"/>
      <w:r w:rsidRPr="00B254CF">
        <w:rPr>
          <w:rFonts w:cs="Arial"/>
        </w:rPr>
        <w:t xml:space="preserve"> and </w:t>
      </w:r>
      <w:proofErr w:type="spellStart"/>
      <w:r w:rsidRPr="00B254CF">
        <w:rPr>
          <w:rFonts w:cs="Arial"/>
        </w:rPr>
        <w:t>value</w:t>
      </w:r>
      <w:proofErr w:type="spellEnd"/>
      <w:r w:rsidRPr="00B254CF">
        <w:rPr>
          <w:rFonts w:cs="Arial"/>
        </w:rPr>
        <w:t xml:space="preserve"> of </w:t>
      </w:r>
      <w:proofErr w:type="spellStart"/>
      <w:r w:rsidRPr="00B254CF">
        <w:rPr>
          <w:rFonts w:cs="Arial"/>
        </w:rPr>
        <w:t>selected</w:t>
      </w:r>
      <w:proofErr w:type="spellEnd"/>
      <w:r w:rsidRPr="00B254CF">
        <w:rPr>
          <w:rFonts w:cs="Arial"/>
        </w:rPr>
        <w:t xml:space="preserve"> </w:t>
      </w:r>
      <w:proofErr w:type="spellStart"/>
      <w:r w:rsidRPr="00B254CF">
        <w:rPr>
          <w:rFonts w:cs="Arial"/>
        </w:rPr>
        <w:t>price</w:t>
      </w:r>
      <w:proofErr w:type="spellEnd"/>
      <w:r w:rsidRPr="00B254CF">
        <w:rPr>
          <w:rFonts w:cs="Arial"/>
        </w:rPr>
        <w:t xml:space="preserve"> </w:t>
      </w:r>
      <w:proofErr w:type="spellStart"/>
      <w:r w:rsidRPr="00B254CF">
        <w:rPr>
          <w:rFonts w:cs="Arial"/>
        </w:rPr>
        <w:t>representatives</w:t>
      </w:r>
      <w:proofErr w:type="spellEnd"/>
      <w:r w:rsidRPr="00B254CF">
        <w:rPr>
          <w:rFonts w:cs="Arial"/>
        </w:rPr>
        <w:t xml:space="preserve"> </w:t>
      </w:r>
      <w:proofErr w:type="spellStart"/>
      <w:r w:rsidRPr="00B254CF">
        <w:rPr>
          <w:rFonts w:cs="Arial"/>
        </w:rPr>
        <w:t>for</w:t>
      </w:r>
      <w:proofErr w:type="spellEnd"/>
      <w:r w:rsidRPr="00B254CF">
        <w:rPr>
          <w:rFonts w:cs="Arial"/>
        </w:rPr>
        <w:t xml:space="preserve"> </w:t>
      </w:r>
      <w:proofErr w:type="spellStart"/>
      <w:r w:rsidRPr="00B254CF">
        <w:rPr>
          <w:rFonts w:cs="Arial"/>
        </w:rPr>
        <w:t>all</w:t>
      </w:r>
      <w:proofErr w:type="spellEnd"/>
      <w:r w:rsidRPr="00B254CF">
        <w:rPr>
          <w:rFonts w:cs="Arial"/>
        </w:rPr>
        <w:t xml:space="preserve"> </w:t>
      </w:r>
      <w:proofErr w:type="spellStart"/>
      <w:r w:rsidRPr="00B254CF">
        <w:rPr>
          <w:rFonts w:cs="Arial"/>
        </w:rPr>
        <w:t>quality</w:t>
      </w:r>
      <w:proofErr w:type="spellEnd"/>
      <w:r w:rsidRPr="00B254CF">
        <w:rPr>
          <w:rFonts w:cs="Arial"/>
        </w:rPr>
        <w:t xml:space="preserve"> </w:t>
      </w:r>
      <w:proofErr w:type="spellStart"/>
      <w:r w:rsidRPr="00B254CF">
        <w:rPr>
          <w:rFonts w:cs="Arial"/>
        </w:rPr>
        <w:t>categories</w:t>
      </w:r>
      <w:proofErr w:type="spellEnd"/>
      <w:r w:rsidRPr="00B254CF">
        <w:rPr>
          <w:rFonts w:cs="Arial"/>
        </w:rPr>
        <w:t xml:space="preserve"> (</w:t>
      </w:r>
      <w:proofErr w:type="spellStart"/>
      <w:r w:rsidRPr="00B254CF">
        <w:rPr>
          <w:rFonts w:cs="Arial"/>
        </w:rPr>
        <w:t>excluding</w:t>
      </w:r>
      <w:proofErr w:type="spellEnd"/>
      <w:r w:rsidRPr="00B254CF">
        <w:rPr>
          <w:rFonts w:cs="Arial"/>
        </w:rPr>
        <w:t xml:space="preserve"> </w:t>
      </w:r>
      <w:proofErr w:type="spellStart"/>
      <w:r w:rsidRPr="00B254CF">
        <w:rPr>
          <w:rFonts w:cs="Arial"/>
        </w:rPr>
        <w:t>inferior</w:t>
      </w:r>
      <w:proofErr w:type="spellEnd"/>
      <w:r w:rsidRPr="00B254CF">
        <w:rPr>
          <w:rFonts w:cs="Arial"/>
        </w:rPr>
        <w:t xml:space="preserve"> </w:t>
      </w:r>
      <w:proofErr w:type="spellStart"/>
      <w:r w:rsidRPr="00B254CF">
        <w:rPr>
          <w:rFonts w:cs="Arial"/>
        </w:rPr>
        <w:t>goods</w:t>
      </w:r>
      <w:proofErr w:type="spellEnd"/>
      <w:r w:rsidRPr="00B254CF">
        <w:rPr>
          <w:rFonts w:cs="Arial"/>
        </w:rPr>
        <w:t xml:space="preserve"> and </w:t>
      </w:r>
      <w:proofErr w:type="spellStart"/>
      <w:r w:rsidRPr="00B254CF">
        <w:rPr>
          <w:rFonts w:cs="Arial"/>
        </w:rPr>
        <w:t>emergency</w:t>
      </w:r>
      <w:proofErr w:type="spellEnd"/>
      <w:r w:rsidRPr="00B254CF">
        <w:rPr>
          <w:rFonts w:cs="Arial"/>
        </w:rPr>
        <w:t xml:space="preserve"> </w:t>
      </w:r>
      <w:proofErr w:type="spellStart"/>
      <w:r w:rsidRPr="00B254CF">
        <w:rPr>
          <w:rFonts w:cs="Arial"/>
        </w:rPr>
        <w:t>slaughtering</w:t>
      </w:r>
      <w:proofErr w:type="spellEnd"/>
      <w:r w:rsidRPr="00B254CF">
        <w:rPr>
          <w:rFonts w:cs="Arial"/>
        </w:rPr>
        <w:t xml:space="preserve">), as </w:t>
      </w:r>
      <w:proofErr w:type="spellStart"/>
      <w:r w:rsidRPr="00B254CF">
        <w:rPr>
          <w:rFonts w:cs="Arial"/>
        </w:rPr>
        <w:t>an</w:t>
      </w:r>
      <w:proofErr w:type="spellEnd"/>
      <w:r w:rsidRPr="00B254CF">
        <w:rPr>
          <w:rFonts w:cs="Arial"/>
        </w:rPr>
        <w:t xml:space="preserve"> </w:t>
      </w:r>
      <w:proofErr w:type="spellStart"/>
      <w:r w:rsidRPr="00B254CF">
        <w:rPr>
          <w:rFonts w:cs="Arial"/>
        </w:rPr>
        <w:t>aggregate</w:t>
      </w:r>
      <w:proofErr w:type="spellEnd"/>
      <w:r w:rsidRPr="00B254CF">
        <w:rPr>
          <w:rFonts w:cs="Arial"/>
        </w:rPr>
        <w:t xml:space="preserve"> </w:t>
      </w:r>
      <w:proofErr w:type="spellStart"/>
      <w:r w:rsidRPr="00B254CF">
        <w:rPr>
          <w:rFonts w:cs="Arial"/>
        </w:rPr>
        <w:t>for</w:t>
      </w:r>
      <w:proofErr w:type="spellEnd"/>
      <w:r w:rsidRPr="00B254CF">
        <w:rPr>
          <w:rFonts w:cs="Arial"/>
        </w:rPr>
        <w:t xml:space="preserve"> </w:t>
      </w:r>
      <w:proofErr w:type="spellStart"/>
      <w:r w:rsidRPr="00B254CF">
        <w:rPr>
          <w:rFonts w:cs="Arial"/>
        </w:rPr>
        <w:t>the</w:t>
      </w:r>
      <w:proofErr w:type="spellEnd"/>
      <w:r w:rsidRPr="00B254CF">
        <w:rPr>
          <w:rFonts w:cs="Arial"/>
        </w:rPr>
        <w:t xml:space="preserve"> </w:t>
      </w:r>
      <w:proofErr w:type="spellStart"/>
      <w:r w:rsidRPr="00B254CF">
        <w:rPr>
          <w:rFonts w:cs="Arial"/>
        </w:rPr>
        <w:t>whole</w:t>
      </w:r>
      <w:proofErr w:type="spellEnd"/>
      <w:r w:rsidRPr="00B254CF">
        <w:rPr>
          <w:rFonts w:cs="Arial"/>
        </w:rPr>
        <w:t xml:space="preserve"> </w:t>
      </w:r>
      <w:proofErr w:type="spellStart"/>
      <w:r w:rsidRPr="00B254CF">
        <w:rPr>
          <w:rFonts w:cs="Arial"/>
        </w:rPr>
        <w:t>previous</w:t>
      </w:r>
      <w:proofErr w:type="spellEnd"/>
      <w:r w:rsidRPr="00B254CF">
        <w:rPr>
          <w:rFonts w:cs="Arial"/>
        </w:rPr>
        <w:t xml:space="preserve"> </w:t>
      </w:r>
      <w:proofErr w:type="spellStart"/>
      <w:r w:rsidRPr="00B254CF">
        <w:rPr>
          <w:rFonts w:cs="Arial"/>
        </w:rPr>
        <w:t>month</w:t>
      </w:r>
      <w:proofErr w:type="spellEnd"/>
      <w:r w:rsidRPr="00B254CF">
        <w:rPr>
          <w:rFonts w:cs="Arial"/>
        </w:rPr>
        <w:t xml:space="preserve">. </w:t>
      </w:r>
      <w:proofErr w:type="spellStart"/>
      <w:r w:rsidRPr="00B254CF">
        <w:rPr>
          <w:rFonts w:cs="Arial"/>
        </w:rPr>
        <w:t>These</w:t>
      </w:r>
      <w:proofErr w:type="spellEnd"/>
      <w:r w:rsidRPr="00B254CF">
        <w:rPr>
          <w:rFonts w:cs="Arial"/>
        </w:rPr>
        <w:t xml:space="preserve"> </w:t>
      </w:r>
      <w:proofErr w:type="spellStart"/>
      <w:r w:rsidRPr="00B254CF">
        <w:rPr>
          <w:rFonts w:cs="Arial"/>
        </w:rPr>
        <w:t>data</w:t>
      </w:r>
      <w:proofErr w:type="spellEnd"/>
      <w:r w:rsidRPr="00B254CF">
        <w:rPr>
          <w:rFonts w:cs="Arial"/>
        </w:rPr>
        <w:t xml:space="preserve"> are </w:t>
      </w:r>
      <w:proofErr w:type="spellStart"/>
      <w:r w:rsidRPr="00B254CF">
        <w:rPr>
          <w:rFonts w:cs="Arial"/>
        </w:rPr>
        <w:t>then</w:t>
      </w:r>
      <w:proofErr w:type="spellEnd"/>
      <w:r w:rsidRPr="00B254CF">
        <w:rPr>
          <w:rFonts w:cs="Arial"/>
        </w:rPr>
        <w:t xml:space="preserve"> </w:t>
      </w:r>
      <w:proofErr w:type="spellStart"/>
      <w:r w:rsidRPr="00B254CF">
        <w:rPr>
          <w:rFonts w:cs="Arial"/>
        </w:rPr>
        <w:t>imputed</w:t>
      </w:r>
      <w:proofErr w:type="spellEnd"/>
      <w:r w:rsidRPr="00B254CF">
        <w:rPr>
          <w:rFonts w:cs="Arial"/>
        </w:rPr>
        <w:t xml:space="preserve"> </w:t>
      </w:r>
      <w:proofErr w:type="spellStart"/>
      <w:r w:rsidRPr="00B254CF">
        <w:rPr>
          <w:rFonts w:cs="Arial"/>
        </w:rPr>
        <w:t>into</w:t>
      </w:r>
      <w:proofErr w:type="spellEnd"/>
      <w:r w:rsidRPr="00B254CF">
        <w:rPr>
          <w:rFonts w:cs="Arial"/>
        </w:rPr>
        <w:t xml:space="preserve"> </w:t>
      </w:r>
      <w:proofErr w:type="spellStart"/>
      <w:r w:rsidRPr="00B254CF">
        <w:rPr>
          <w:rFonts w:cs="Arial"/>
        </w:rPr>
        <w:t>the</w:t>
      </w:r>
      <w:proofErr w:type="spellEnd"/>
      <w:r w:rsidRPr="00B254CF">
        <w:rPr>
          <w:rFonts w:cs="Arial"/>
        </w:rPr>
        <w:t xml:space="preserve"> </w:t>
      </w:r>
      <w:proofErr w:type="spellStart"/>
      <w:r w:rsidRPr="00B254CF">
        <w:rPr>
          <w:rFonts w:cs="Arial"/>
        </w:rPr>
        <w:t>calculation</w:t>
      </w:r>
      <w:proofErr w:type="spellEnd"/>
      <w:r w:rsidRPr="00B254CF">
        <w:rPr>
          <w:rFonts w:cs="Arial"/>
        </w:rPr>
        <w:t xml:space="preserve"> of </w:t>
      </w:r>
      <w:proofErr w:type="spellStart"/>
      <w:r w:rsidRPr="00B254CF">
        <w:rPr>
          <w:rFonts w:cs="Arial"/>
        </w:rPr>
        <w:t>average</w:t>
      </w:r>
      <w:proofErr w:type="spellEnd"/>
      <w:r w:rsidRPr="00B254CF">
        <w:rPr>
          <w:rFonts w:cs="Arial"/>
        </w:rPr>
        <w:t xml:space="preserve"> </w:t>
      </w:r>
      <w:proofErr w:type="spellStart"/>
      <w:r w:rsidRPr="00B254CF">
        <w:rPr>
          <w:rFonts w:cs="Arial"/>
        </w:rPr>
        <w:t>values</w:t>
      </w:r>
      <w:proofErr w:type="spellEnd"/>
      <w:r w:rsidRPr="00B254CF">
        <w:rPr>
          <w:rFonts w:cs="Arial"/>
        </w:rPr>
        <w:t>.</w:t>
      </w:r>
    </w:p>
    <w:p w:rsidR="000C17BA" w:rsidRPr="00B254CF" w:rsidRDefault="000C17BA">
      <w:pPr>
        <w:ind w:firstLine="708"/>
        <w:jc w:val="both"/>
        <w:rPr>
          <w:rFonts w:cs="Arial"/>
        </w:rPr>
      </w:pPr>
      <w:proofErr w:type="spellStart"/>
      <w:r w:rsidRPr="00B254CF">
        <w:rPr>
          <w:rFonts w:cs="Arial"/>
        </w:rPr>
        <w:t>Average</w:t>
      </w:r>
      <w:proofErr w:type="spellEnd"/>
      <w:r w:rsidRPr="00B254CF">
        <w:rPr>
          <w:rFonts w:cs="Arial"/>
        </w:rPr>
        <w:t xml:space="preserve"> </w:t>
      </w:r>
      <w:proofErr w:type="spellStart"/>
      <w:r w:rsidRPr="00B254CF">
        <w:rPr>
          <w:rFonts w:cs="Arial"/>
        </w:rPr>
        <w:t>prices</w:t>
      </w:r>
      <w:proofErr w:type="spellEnd"/>
      <w:r w:rsidRPr="00B254CF">
        <w:rPr>
          <w:rFonts w:cs="Arial"/>
        </w:rPr>
        <w:t xml:space="preserve"> of </w:t>
      </w:r>
      <w:proofErr w:type="spellStart"/>
      <w:r w:rsidRPr="00B254CF">
        <w:rPr>
          <w:rFonts w:cs="Arial"/>
        </w:rPr>
        <w:t>the</w:t>
      </w:r>
      <w:proofErr w:type="spellEnd"/>
      <w:r w:rsidRPr="00B254CF">
        <w:rPr>
          <w:rFonts w:cs="Arial"/>
        </w:rPr>
        <w:t xml:space="preserve"> </w:t>
      </w:r>
      <w:proofErr w:type="spellStart"/>
      <w:r w:rsidRPr="00B254CF">
        <w:rPr>
          <w:rFonts w:cs="Arial"/>
        </w:rPr>
        <w:t>monitored</w:t>
      </w:r>
      <w:proofErr w:type="spellEnd"/>
      <w:r w:rsidRPr="00B254CF">
        <w:rPr>
          <w:rFonts w:cs="Arial"/>
        </w:rPr>
        <w:t xml:space="preserve"> </w:t>
      </w:r>
      <w:proofErr w:type="spellStart"/>
      <w:r w:rsidRPr="00B254CF">
        <w:rPr>
          <w:rFonts w:cs="Arial"/>
        </w:rPr>
        <w:t>agricultural</w:t>
      </w:r>
      <w:proofErr w:type="spellEnd"/>
      <w:r w:rsidRPr="00B254CF">
        <w:rPr>
          <w:rFonts w:cs="Arial"/>
        </w:rPr>
        <w:t xml:space="preserve"> </w:t>
      </w:r>
      <w:proofErr w:type="spellStart"/>
      <w:r w:rsidRPr="00B254CF">
        <w:rPr>
          <w:rFonts w:cs="Arial"/>
        </w:rPr>
        <w:t>products</w:t>
      </w:r>
      <w:proofErr w:type="spellEnd"/>
      <w:r w:rsidRPr="00B254CF">
        <w:rPr>
          <w:rFonts w:cs="Arial"/>
        </w:rPr>
        <w:t xml:space="preserve"> are </w:t>
      </w:r>
      <w:proofErr w:type="spellStart"/>
      <w:r w:rsidRPr="00B254CF">
        <w:rPr>
          <w:rFonts w:cs="Arial"/>
        </w:rPr>
        <w:t>calculated</w:t>
      </w:r>
      <w:proofErr w:type="spellEnd"/>
      <w:r w:rsidRPr="00B254CF">
        <w:rPr>
          <w:rFonts w:cs="Arial"/>
        </w:rPr>
        <w:t xml:space="preserve"> as </w:t>
      </w:r>
      <w:proofErr w:type="spellStart"/>
      <w:r w:rsidRPr="00B254CF">
        <w:rPr>
          <w:rFonts w:cs="Arial"/>
        </w:rPr>
        <w:t>an</w:t>
      </w:r>
      <w:proofErr w:type="spellEnd"/>
      <w:r w:rsidRPr="00B254CF">
        <w:rPr>
          <w:rFonts w:cs="Arial"/>
        </w:rPr>
        <w:t xml:space="preserve"> </w:t>
      </w:r>
      <w:proofErr w:type="spellStart"/>
      <w:r w:rsidRPr="00B254CF">
        <w:rPr>
          <w:rFonts w:cs="Arial"/>
        </w:rPr>
        <w:t>arithmetic</w:t>
      </w:r>
      <w:proofErr w:type="spellEnd"/>
      <w:r w:rsidRPr="00B254CF">
        <w:rPr>
          <w:rFonts w:cs="Arial"/>
        </w:rPr>
        <w:t xml:space="preserve"> </w:t>
      </w:r>
      <w:proofErr w:type="spellStart"/>
      <w:r w:rsidRPr="00B254CF">
        <w:rPr>
          <w:rFonts w:cs="Arial"/>
        </w:rPr>
        <w:t>average</w:t>
      </w:r>
      <w:proofErr w:type="spellEnd"/>
      <w:r w:rsidRPr="00B254CF">
        <w:rPr>
          <w:rFonts w:cs="Arial"/>
        </w:rPr>
        <w:t xml:space="preserve"> of </w:t>
      </w:r>
      <w:proofErr w:type="spellStart"/>
      <w:r w:rsidRPr="00B254CF">
        <w:rPr>
          <w:rFonts w:cs="Arial"/>
        </w:rPr>
        <w:t>prices</w:t>
      </w:r>
      <w:proofErr w:type="spellEnd"/>
      <w:r w:rsidRPr="00B254CF">
        <w:rPr>
          <w:rFonts w:cs="Arial"/>
        </w:rPr>
        <w:t xml:space="preserve"> </w:t>
      </w:r>
      <w:proofErr w:type="spellStart"/>
      <w:r w:rsidRPr="00B254CF">
        <w:rPr>
          <w:rFonts w:cs="Arial"/>
        </w:rPr>
        <w:t>offered</w:t>
      </w:r>
      <w:proofErr w:type="spellEnd"/>
      <w:r w:rsidRPr="00B254CF">
        <w:rPr>
          <w:rFonts w:cs="Arial"/>
        </w:rPr>
        <w:t xml:space="preserve"> by </w:t>
      </w:r>
      <w:proofErr w:type="spellStart"/>
      <w:r w:rsidRPr="00B254CF">
        <w:rPr>
          <w:rFonts w:cs="Arial"/>
        </w:rPr>
        <w:t>individual</w:t>
      </w:r>
      <w:proofErr w:type="spellEnd"/>
      <w:r w:rsidRPr="00B254CF">
        <w:rPr>
          <w:rFonts w:cs="Arial"/>
        </w:rPr>
        <w:t xml:space="preserve"> </w:t>
      </w:r>
      <w:proofErr w:type="spellStart"/>
      <w:r w:rsidRPr="00B254CF">
        <w:rPr>
          <w:rFonts w:cs="Arial"/>
        </w:rPr>
        <w:t>producers</w:t>
      </w:r>
      <w:proofErr w:type="spellEnd"/>
      <w:r w:rsidRPr="00B254CF">
        <w:rPr>
          <w:rFonts w:cs="Arial"/>
        </w:rPr>
        <w:t xml:space="preserve">, </w:t>
      </w:r>
      <w:proofErr w:type="spellStart"/>
      <w:r w:rsidRPr="00B254CF">
        <w:rPr>
          <w:rFonts w:cs="Arial"/>
        </w:rPr>
        <w:t>for</w:t>
      </w:r>
      <w:proofErr w:type="spellEnd"/>
      <w:r w:rsidRPr="00B254CF">
        <w:rPr>
          <w:rFonts w:cs="Arial"/>
        </w:rPr>
        <w:t xml:space="preserve"> </w:t>
      </w:r>
      <w:proofErr w:type="spellStart"/>
      <w:r w:rsidRPr="00B254CF">
        <w:rPr>
          <w:rFonts w:cs="Arial"/>
        </w:rPr>
        <w:t>the</w:t>
      </w:r>
      <w:proofErr w:type="spellEnd"/>
      <w:r w:rsidRPr="00B254CF">
        <w:rPr>
          <w:rFonts w:cs="Arial"/>
        </w:rPr>
        <w:t xml:space="preserve"> country as a </w:t>
      </w:r>
      <w:proofErr w:type="spellStart"/>
      <w:r w:rsidRPr="00B254CF">
        <w:rPr>
          <w:rFonts w:cs="Arial"/>
        </w:rPr>
        <w:t>whole</w:t>
      </w:r>
      <w:proofErr w:type="spellEnd"/>
      <w:r w:rsidRPr="00B254CF">
        <w:rPr>
          <w:rFonts w:cs="Arial"/>
        </w:rPr>
        <w:t xml:space="preserve">, or at </w:t>
      </w:r>
      <w:proofErr w:type="spellStart"/>
      <w:r w:rsidRPr="00B254CF">
        <w:rPr>
          <w:rFonts w:cs="Arial"/>
        </w:rPr>
        <w:t>the</w:t>
      </w:r>
      <w:proofErr w:type="spellEnd"/>
      <w:r w:rsidRPr="00B254CF">
        <w:rPr>
          <w:rFonts w:cs="Arial"/>
        </w:rPr>
        <w:t xml:space="preserve"> level of </w:t>
      </w:r>
      <w:proofErr w:type="spellStart"/>
      <w:r w:rsidRPr="00B254CF">
        <w:rPr>
          <w:rFonts w:cs="Arial"/>
        </w:rPr>
        <w:t>regions</w:t>
      </w:r>
      <w:proofErr w:type="spellEnd"/>
      <w:r w:rsidRPr="00B254CF">
        <w:rPr>
          <w:rFonts w:cs="Arial"/>
        </w:rPr>
        <w:t xml:space="preserve">. </w:t>
      </w:r>
    </w:p>
    <w:p w:rsidR="000C17BA" w:rsidRDefault="000C17BA">
      <w:pPr>
        <w:ind w:firstLine="708"/>
        <w:jc w:val="both"/>
        <w:rPr>
          <w:rFonts w:cs="Arial"/>
        </w:rPr>
      </w:pPr>
      <w:proofErr w:type="spellStart"/>
      <w:r w:rsidRPr="00B254CF">
        <w:rPr>
          <w:rFonts w:cs="Arial"/>
        </w:rPr>
        <w:t>Price</w:t>
      </w:r>
      <w:proofErr w:type="spellEnd"/>
      <w:r w:rsidRPr="00B254CF">
        <w:rPr>
          <w:rFonts w:cs="Arial"/>
        </w:rPr>
        <w:t xml:space="preserve"> </w:t>
      </w:r>
      <w:proofErr w:type="spellStart"/>
      <w:r w:rsidRPr="00B254CF">
        <w:rPr>
          <w:rFonts w:cs="Arial"/>
        </w:rPr>
        <w:t>indices</w:t>
      </w:r>
      <w:proofErr w:type="spellEnd"/>
      <w:r w:rsidRPr="00B254CF">
        <w:rPr>
          <w:rFonts w:cs="Arial"/>
        </w:rPr>
        <w:t xml:space="preserve"> are </w:t>
      </w:r>
      <w:proofErr w:type="spellStart"/>
      <w:r w:rsidRPr="00B254CF">
        <w:rPr>
          <w:rFonts w:cs="Arial"/>
        </w:rPr>
        <w:t>calculated</w:t>
      </w:r>
      <w:proofErr w:type="spellEnd"/>
      <w:r w:rsidRPr="00B254CF">
        <w:rPr>
          <w:rFonts w:cs="Arial"/>
        </w:rPr>
        <w:t xml:space="preserve"> </w:t>
      </w:r>
      <w:proofErr w:type="spellStart"/>
      <w:r w:rsidRPr="00B254CF">
        <w:rPr>
          <w:rFonts w:cs="Arial"/>
        </w:rPr>
        <w:t>based</w:t>
      </w:r>
      <w:proofErr w:type="spellEnd"/>
      <w:r w:rsidRPr="00B254CF">
        <w:rPr>
          <w:rFonts w:cs="Arial"/>
        </w:rPr>
        <w:t xml:space="preserve"> on </w:t>
      </w:r>
      <w:proofErr w:type="spellStart"/>
      <w:r w:rsidRPr="00B254CF">
        <w:rPr>
          <w:rFonts w:cs="Arial"/>
        </w:rPr>
        <w:t>prices</w:t>
      </w:r>
      <w:proofErr w:type="spellEnd"/>
      <w:r w:rsidRPr="00B254CF">
        <w:rPr>
          <w:rFonts w:cs="Arial"/>
        </w:rPr>
        <w:t xml:space="preserve"> </w:t>
      </w:r>
      <w:proofErr w:type="spellStart"/>
      <w:r w:rsidRPr="00B254CF">
        <w:rPr>
          <w:rFonts w:cs="Arial"/>
        </w:rPr>
        <w:t>reported</w:t>
      </w:r>
      <w:proofErr w:type="spellEnd"/>
      <w:r w:rsidRPr="00B254CF">
        <w:rPr>
          <w:rFonts w:cs="Arial"/>
        </w:rPr>
        <w:t xml:space="preserve"> </w:t>
      </w:r>
      <w:proofErr w:type="spellStart"/>
      <w:r w:rsidRPr="00B254CF">
        <w:rPr>
          <w:rFonts w:cs="Arial"/>
        </w:rPr>
        <w:t>for</w:t>
      </w:r>
      <w:proofErr w:type="spellEnd"/>
      <w:r w:rsidRPr="00B254CF">
        <w:rPr>
          <w:rFonts w:cs="Arial"/>
        </w:rPr>
        <w:t xml:space="preserve"> 8</w:t>
      </w:r>
      <w:r w:rsidR="003E0BAE" w:rsidRPr="00B254CF">
        <w:rPr>
          <w:rFonts w:cs="Arial"/>
        </w:rPr>
        <w:t>5</w:t>
      </w:r>
      <w:r w:rsidRPr="00B254CF">
        <w:rPr>
          <w:rFonts w:cs="Arial"/>
        </w:rPr>
        <w:t xml:space="preserve"> </w:t>
      </w:r>
      <w:proofErr w:type="spellStart"/>
      <w:r w:rsidRPr="00B254CF">
        <w:rPr>
          <w:rFonts w:cs="Arial"/>
        </w:rPr>
        <w:t>selected</w:t>
      </w:r>
      <w:proofErr w:type="spellEnd"/>
      <w:r w:rsidRPr="00B254CF">
        <w:rPr>
          <w:rFonts w:cs="Arial"/>
        </w:rPr>
        <w:t xml:space="preserve"> </w:t>
      </w:r>
      <w:proofErr w:type="spellStart"/>
      <w:r w:rsidRPr="00B254CF">
        <w:rPr>
          <w:rFonts w:cs="Arial"/>
        </w:rPr>
        <w:t>products</w:t>
      </w:r>
      <w:proofErr w:type="spellEnd"/>
      <w:r w:rsidRPr="00B254CF">
        <w:rPr>
          <w:rFonts w:cs="Arial"/>
        </w:rPr>
        <w:t xml:space="preserve"> – </w:t>
      </w:r>
      <w:proofErr w:type="spellStart"/>
      <w:r w:rsidRPr="00B254CF">
        <w:rPr>
          <w:rFonts w:cs="Arial"/>
        </w:rPr>
        <w:t>price</w:t>
      </w:r>
      <w:proofErr w:type="spellEnd"/>
      <w:r w:rsidRPr="00B254CF">
        <w:rPr>
          <w:rFonts w:cs="Arial"/>
        </w:rPr>
        <w:t xml:space="preserve"> </w:t>
      </w:r>
      <w:proofErr w:type="spellStart"/>
      <w:r w:rsidRPr="00B254CF">
        <w:rPr>
          <w:rFonts w:cs="Arial"/>
        </w:rPr>
        <w:t>representatives</w:t>
      </w:r>
      <w:proofErr w:type="spellEnd"/>
      <w:r w:rsidRPr="00B254CF">
        <w:rPr>
          <w:rFonts w:cs="Arial"/>
        </w:rPr>
        <w:t xml:space="preserve"> (</w:t>
      </w:r>
      <w:proofErr w:type="spellStart"/>
      <w:r w:rsidRPr="00B254CF">
        <w:rPr>
          <w:rFonts w:cs="Arial"/>
        </w:rPr>
        <w:t>samplers</w:t>
      </w:r>
      <w:proofErr w:type="spellEnd"/>
      <w:r w:rsidRPr="00B254CF">
        <w:rPr>
          <w:rFonts w:cs="Arial"/>
        </w:rPr>
        <w:t xml:space="preserve">). </w:t>
      </w:r>
      <w:proofErr w:type="spellStart"/>
      <w:r w:rsidRPr="00B254CF">
        <w:rPr>
          <w:rFonts w:cs="Arial"/>
        </w:rPr>
        <w:t>Simple</w:t>
      </w:r>
      <w:proofErr w:type="spellEnd"/>
      <w:r w:rsidRPr="00B254CF">
        <w:rPr>
          <w:rFonts w:cs="Arial"/>
        </w:rPr>
        <w:t xml:space="preserve"> </w:t>
      </w:r>
      <w:proofErr w:type="spellStart"/>
      <w:r w:rsidRPr="00B254CF">
        <w:rPr>
          <w:rFonts w:cs="Arial"/>
        </w:rPr>
        <w:t>indices</w:t>
      </w:r>
      <w:proofErr w:type="spellEnd"/>
      <w:r w:rsidRPr="00B254CF">
        <w:rPr>
          <w:rFonts w:cs="Arial"/>
        </w:rPr>
        <w:t xml:space="preserve"> are </w:t>
      </w:r>
      <w:proofErr w:type="spellStart"/>
      <w:r w:rsidRPr="00B254CF">
        <w:rPr>
          <w:rFonts w:cs="Arial"/>
        </w:rPr>
        <w:t>then</w:t>
      </w:r>
      <w:proofErr w:type="spellEnd"/>
      <w:r w:rsidRPr="00B254CF">
        <w:rPr>
          <w:rFonts w:cs="Arial"/>
        </w:rPr>
        <w:t xml:space="preserve"> </w:t>
      </w:r>
      <w:proofErr w:type="spellStart"/>
      <w:r w:rsidRPr="00B254CF">
        <w:rPr>
          <w:rFonts w:cs="Arial"/>
        </w:rPr>
        <w:t>aggregated</w:t>
      </w:r>
      <w:proofErr w:type="spellEnd"/>
      <w:r w:rsidRPr="00B254CF">
        <w:rPr>
          <w:rFonts w:cs="Arial"/>
        </w:rPr>
        <w:t xml:space="preserve"> </w:t>
      </w:r>
      <w:proofErr w:type="spellStart"/>
      <w:r w:rsidRPr="00B254CF">
        <w:rPr>
          <w:rFonts w:cs="Arial"/>
        </w:rPr>
        <w:t>into</w:t>
      </w:r>
      <w:proofErr w:type="spellEnd"/>
      <w:r w:rsidRPr="00B254CF">
        <w:rPr>
          <w:rFonts w:cs="Arial"/>
        </w:rPr>
        <w:t xml:space="preserve"> </w:t>
      </w:r>
      <w:proofErr w:type="spellStart"/>
      <w:r w:rsidRPr="00B254CF">
        <w:rPr>
          <w:rFonts w:cs="Arial"/>
        </w:rPr>
        <w:t>groups</w:t>
      </w:r>
      <w:proofErr w:type="spellEnd"/>
      <w:r w:rsidRPr="00B254CF">
        <w:rPr>
          <w:rFonts w:cs="Arial"/>
        </w:rPr>
        <w:t xml:space="preserve"> and </w:t>
      </w:r>
      <w:proofErr w:type="spellStart"/>
      <w:r w:rsidRPr="00B254CF">
        <w:rPr>
          <w:rFonts w:cs="Arial"/>
        </w:rPr>
        <w:t>totals</w:t>
      </w:r>
      <w:proofErr w:type="spellEnd"/>
      <w:r w:rsidRPr="00B254CF">
        <w:rPr>
          <w:rFonts w:cs="Arial"/>
        </w:rPr>
        <w:t xml:space="preserve">, </w:t>
      </w:r>
      <w:proofErr w:type="spellStart"/>
      <w:r w:rsidRPr="00B254CF">
        <w:rPr>
          <w:rFonts w:cs="Arial"/>
        </w:rPr>
        <w:t>through</w:t>
      </w:r>
      <w:proofErr w:type="spellEnd"/>
      <w:r w:rsidRPr="00B254CF">
        <w:rPr>
          <w:rFonts w:cs="Arial"/>
        </w:rPr>
        <w:t xml:space="preserve"> </w:t>
      </w:r>
      <w:proofErr w:type="spellStart"/>
      <w:r w:rsidRPr="00B254CF">
        <w:rPr>
          <w:rFonts w:cs="Arial"/>
        </w:rPr>
        <w:t>the</w:t>
      </w:r>
      <w:proofErr w:type="spellEnd"/>
      <w:r w:rsidRPr="00B254CF">
        <w:rPr>
          <w:rFonts w:cs="Arial"/>
        </w:rPr>
        <w:t xml:space="preserve"> </w:t>
      </w:r>
      <w:proofErr w:type="spellStart"/>
      <w:r w:rsidRPr="00B254CF">
        <w:rPr>
          <w:rFonts w:cs="Arial"/>
        </w:rPr>
        <w:t>constant</w:t>
      </w:r>
      <w:proofErr w:type="spellEnd"/>
      <w:r w:rsidRPr="00B254CF">
        <w:rPr>
          <w:rFonts w:cs="Arial"/>
        </w:rPr>
        <w:t xml:space="preserve"> </w:t>
      </w:r>
      <w:proofErr w:type="spellStart"/>
      <w:r w:rsidRPr="00B254CF">
        <w:rPr>
          <w:rFonts w:cs="Arial"/>
        </w:rPr>
        <w:t>monthly</w:t>
      </w:r>
      <w:proofErr w:type="spellEnd"/>
      <w:r w:rsidRPr="00B254CF">
        <w:rPr>
          <w:rFonts w:cs="Arial"/>
        </w:rPr>
        <w:t xml:space="preserve"> </w:t>
      </w:r>
      <w:proofErr w:type="spellStart"/>
      <w:r w:rsidRPr="00B254CF">
        <w:rPr>
          <w:rFonts w:cs="Arial"/>
        </w:rPr>
        <w:t>weighting</w:t>
      </w:r>
      <w:proofErr w:type="spellEnd"/>
      <w:r w:rsidRPr="00B254CF">
        <w:rPr>
          <w:rFonts w:cs="Arial"/>
        </w:rPr>
        <w:t xml:space="preserve"> </w:t>
      </w:r>
      <w:proofErr w:type="spellStart"/>
      <w:r w:rsidRPr="00B254CF">
        <w:rPr>
          <w:rFonts w:cs="Arial"/>
        </w:rPr>
        <w:t>system</w:t>
      </w:r>
      <w:proofErr w:type="spellEnd"/>
      <w:r w:rsidRPr="00B254CF">
        <w:rPr>
          <w:rFonts w:cs="Arial"/>
        </w:rPr>
        <w:t xml:space="preserve">, </w:t>
      </w:r>
      <w:proofErr w:type="spellStart"/>
      <w:r w:rsidRPr="00B254CF">
        <w:rPr>
          <w:rFonts w:cs="Arial"/>
        </w:rPr>
        <w:t>following</w:t>
      </w:r>
      <w:proofErr w:type="spellEnd"/>
      <w:r w:rsidRPr="00B254CF">
        <w:rPr>
          <w:rFonts w:cs="Arial"/>
        </w:rPr>
        <w:t xml:space="preserve"> </w:t>
      </w:r>
      <w:proofErr w:type="spellStart"/>
      <w:r w:rsidRPr="00B254CF">
        <w:rPr>
          <w:rFonts w:cs="Arial"/>
        </w:rPr>
        <w:t>Laspeyres</w:t>
      </w:r>
      <w:proofErr w:type="spellEnd"/>
      <w:r w:rsidRPr="00B254CF">
        <w:rPr>
          <w:rFonts w:cs="Arial"/>
        </w:rPr>
        <w:t xml:space="preserve"> formula:</w:t>
      </w:r>
    </w:p>
    <w:p w:rsidR="00D23C49" w:rsidRPr="00B254CF" w:rsidRDefault="00D23C49">
      <w:pPr>
        <w:ind w:firstLine="708"/>
        <w:jc w:val="both"/>
        <w:rPr>
          <w:rFonts w:cs="Arial"/>
        </w:rPr>
      </w:pPr>
    </w:p>
    <w:p w:rsidR="000C17BA" w:rsidRPr="00B254CF" w:rsidRDefault="000C17BA">
      <w:pPr>
        <w:ind w:left="2832" w:firstLine="708"/>
        <w:jc w:val="both"/>
        <w:rPr>
          <w:rFonts w:cs="Arial"/>
        </w:rPr>
      </w:pPr>
      <w:r w:rsidRPr="00B254CF">
        <w:rPr>
          <w:rFonts w:cs="Arial"/>
        </w:rPr>
        <w:t xml:space="preserve">           p</w:t>
      </w:r>
      <w:r w:rsidRPr="00B254CF">
        <w:rPr>
          <w:rFonts w:cs="Arial"/>
          <w:vertAlign w:val="subscript"/>
        </w:rPr>
        <w:t>1</w:t>
      </w:r>
    </w:p>
    <w:p w:rsidR="000C17BA" w:rsidRPr="00B254CF" w:rsidRDefault="000C17BA">
      <w:pPr>
        <w:ind w:left="2832" w:firstLine="708"/>
        <w:jc w:val="both"/>
        <w:rPr>
          <w:rFonts w:cs="Arial"/>
        </w:rPr>
      </w:pPr>
      <w:r w:rsidRPr="00B254CF">
        <w:rPr>
          <w:rFonts w:cs="Arial"/>
        </w:rPr>
        <w:t>Σ  –––––––––– . p</w:t>
      </w:r>
      <w:r w:rsidRPr="00B254CF">
        <w:rPr>
          <w:rFonts w:cs="Arial"/>
          <w:vertAlign w:val="subscript"/>
        </w:rPr>
        <w:t>0</w:t>
      </w:r>
      <w:r w:rsidRPr="00B254CF">
        <w:rPr>
          <w:rFonts w:cs="Arial"/>
        </w:rPr>
        <w:t xml:space="preserve"> q</w:t>
      </w:r>
      <w:r w:rsidRPr="00B254CF">
        <w:rPr>
          <w:rFonts w:cs="Arial"/>
          <w:vertAlign w:val="subscript"/>
        </w:rPr>
        <w:t>0</w:t>
      </w:r>
    </w:p>
    <w:p w:rsidR="000C17BA" w:rsidRPr="00B254CF" w:rsidRDefault="000C17BA">
      <w:pPr>
        <w:ind w:left="2832" w:firstLine="708"/>
        <w:jc w:val="both"/>
        <w:rPr>
          <w:rFonts w:cs="Arial"/>
        </w:rPr>
      </w:pPr>
      <w:r w:rsidRPr="00B254CF">
        <w:rPr>
          <w:rFonts w:cs="Arial"/>
        </w:rPr>
        <w:t xml:space="preserve">           p</w:t>
      </w:r>
      <w:r w:rsidRPr="00B254CF">
        <w:rPr>
          <w:rFonts w:cs="Arial"/>
          <w:vertAlign w:val="subscript"/>
        </w:rPr>
        <w:t>0</w:t>
      </w:r>
    </w:p>
    <w:p w:rsidR="000C17BA" w:rsidRPr="00B254CF" w:rsidRDefault="000C17BA">
      <w:pPr>
        <w:ind w:left="1416" w:firstLine="708"/>
        <w:jc w:val="both"/>
        <w:rPr>
          <w:rFonts w:cs="Arial"/>
        </w:rPr>
      </w:pPr>
      <w:r w:rsidRPr="00B254CF">
        <w:rPr>
          <w:rFonts w:cs="Arial"/>
        </w:rPr>
        <w:t>I  =  ––––––––––––––––––––––––––––––    .  100</w:t>
      </w:r>
    </w:p>
    <w:p w:rsidR="000C17BA" w:rsidRPr="00B254CF" w:rsidRDefault="000C17BA">
      <w:pPr>
        <w:ind w:firstLine="708"/>
        <w:jc w:val="both"/>
        <w:rPr>
          <w:rFonts w:cs="Arial"/>
        </w:rPr>
      </w:pPr>
    </w:p>
    <w:p w:rsidR="000C17BA" w:rsidRPr="00B254CF" w:rsidRDefault="000C17BA">
      <w:pPr>
        <w:ind w:firstLine="708"/>
        <w:jc w:val="both"/>
        <w:rPr>
          <w:rFonts w:cs="Arial"/>
          <w:vertAlign w:val="subscript"/>
        </w:rPr>
      </w:pPr>
      <w:r w:rsidRPr="00B254CF">
        <w:rPr>
          <w:rFonts w:cs="Arial"/>
        </w:rPr>
        <w:tab/>
      </w:r>
      <w:r w:rsidRPr="00B254CF">
        <w:rPr>
          <w:rFonts w:cs="Arial"/>
        </w:rPr>
        <w:tab/>
      </w:r>
      <w:r w:rsidRPr="00B254CF">
        <w:rPr>
          <w:rFonts w:cs="Arial"/>
        </w:rPr>
        <w:tab/>
      </w:r>
      <w:r w:rsidRPr="00B254CF">
        <w:rPr>
          <w:rFonts w:cs="Arial"/>
        </w:rPr>
        <w:tab/>
        <w:t>Σ        p</w:t>
      </w:r>
      <w:r w:rsidRPr="00B254CF">
        <w:rPr>
          <w:rFonts w:cs="Arial"/>
          <w:vertAlign w:val="subscript"/>
        </w:rPr>
        <w:t>0</w:t>
      </w:r>
      <w:r w:rsidRPr="00B254CF">
        <w:rPr>
          <w:rFonts w:cs="Arial"/>
        </w:rPr>
        <w:t xml:space="preserve"> q</w:t>
      </w:r>
      <w:r w:rsidRPr="00B254CF">
        <w:rPr>
          <w:rFonts w:cs="Arial"/>
          <w:vertAlign w:val="subscript"/>
        </w:rPr>
        <w:t>0</w:t>
      </w:r>
    </w:p>
    <w:p w:rsidR="000C17BA" w:rsidRPr="00B254CF" w:rsidRDefault="000C17BA">
      <w:pPr>
        <w:ind w:firstLine="708"/>
        <w:jc w:val="both"/>
        <w:rPr>
          <w:rFonts w:cs="Arial"/>
          <w:vertAlign w:val="subscript"/>
        </w:rPr>
      </w:pPr>
    </w:p>
    <w:p w:rsidR="000C17BA" w:rsidRPr="00B254CF" w:rsidRDefault="000C17BA">
      <w:pPr>
        <w:ind w:firstLine="708"/>
        <w:jc w:val="both"/>
        <w:rPr>
          <w:rFonts w:cs="Arial"/>
          <w:vertAlign w:val="subscript"/>
        </w:rPr>
      </w:pPr>
    </w:p>
    <w:p w:rsidR="000C17BA" w:rsidRPr="00B254CF" w:rsidRDefault="000C17BA">
      <w:pPr>
        <w:jc w:val="both"/>
        <w:rPr>
          <w:rFonts w:cs="Arial"/>
          <w:sz w:val="22"/>
        </w:rPr>
      </w:pPr>
      <w:r w:rsidRPr="00B254CF">
        <w:rPr>
          <w:rFonts w:cs="Arial"/>
        </w:rPr>
        <w:t>p</w:t>
      </w:r>
      <w:r w:rsidRPr="00B254CF">
        <w:rPr>
          <w:rFonts w:cs="Arial"/>
          <w:vertAlign w:val="subscript"/>
        </w:rPr>
        <w:t xml:space="preserve">1       </w:t>
      </w:r>
      <w:r w:rsidRPr="00B254CF">
        <w:rPr>
          <w:rFonts w:cs="Arial"/>
        </w:rPr>
        <w:t xml:space="preserve">-   </w:t>
      </w:r>
      <w:proofErr w:type="spellStart"/>
      <w:r w:rsidRPr="00B254CF">
        <w:rPr>
          <w:rFonts w:cs="Arial"/>
          <w:sz w:val="22"/>
        </w:rPr>
        <w:t>price</w:t>
      </w:r>
      <w:proofErr w:type="spellEnd"/>
      <w:r w:rsidRPr="00B254CF">
        <w:rPr>
          <w:rFonts w:cs="Arial"/>
          <w:sz w:val="22"/>
        </w:rPr>
        <w:t xml:space="preserve"> in </w:t>
      </w:r>
      <w:proofErr w:type="spellStart"/>
      <w:r w:rsidRPr="00B254CF">
        <w:rPr>
          <w:rFonts w:cs="Arial"/>
          <w:sz w:val="22"/>
        </w:rPr>
        <w:t>the</w:t>
      </w:r>
      <w:proofErr w:type="spellEnd"/>
      <w:r w:rsidRPr="00B254CF">
        <w:rPr>
          <w:rFonts w:cs="Arial"/>
          <w:sz w:val="22"/>
        </w:rPr>
        <w:t xml:space="preserve"> </w:t>
      </w:r>
      <w:proofErr w:type="spellStart"/>
      <w:r w:rsidRPr="00B254CF">
        <w:rPr>
          <w:rFonts w:cs="Arial"/>
          <w:sz w:val="22"/>
        </w:rPr>
        <w:t>monitored</w:t>
      </w:r>
      <w:proofErr w:type="spellEnd"/>
      <w:r w:rsidRPr="00B254CF">
        <w:rPr>
          <w:rFonts w:cs="Arial"/>
          <w:sz w:val="22"/>
        </w:rPr>
        <w:t xml:space="preserve"> </w:t>
      </w:r>
      <w:proofErr w:type="spellStart"/>
      <w:r w:rsidRPr="00B254CF">
        <w:rPr>
          <w:rFonts w:cs="Arial"/>
          <w:sz w:val="22"/>
        </w:rPr>
        <w:t>period</w:t>
      </w:r>
      <w:proofErr w:type="spellEnd"/>
      <w:r w:rsidRPr="00B254CF">
        <w:rPr>
          <w:rFonts w:cs="Arial"/>
          <w:sz w:val="22"/>
        </w:rPr>
        <w:t xml:space="preserve">, </w:t>
      </w:r>
    </w:p>
    <w:p w:rsidR="000C17BA" w:rsidRPr="00B254CF" w:rsidRDefault="000C17BA">
      <w:pPr>
        <w:jc w:val="both"/>
        <w:rPr>
          <w:rFonts w:cs="Arial"/>
          <w:sz w:val="22"/>
        </w:rPr>
      </w:pPr>
      <w:r w:rsidRPr="00B254CF">
        <w:rPr>
          <w:rFonts w:cs="Arial"/>
        </w:rPr>
        <w:t>p</w:t>
      </w:r>
      <w:r w:rsidRPr="00B254CF">
        <w:rPr>
          <w:rFonts w:cs="Arial"/>
          <w:vertAlign w:val="subscript"/>
        </w:rPr>
        <w:t>0       </w:t>
      </w:r>
      <w:r w:rsidRPr="00B254CF">
        <w:rPr>
          <w:rFonts w:cs="Arial"/>
        </w:rPr>
        <w:t xml:space="preserve">-   </w:t>
      </w:r>
      <w:proofErr w:type="spellStart"/>
      <w:r w:rsidRPr="00B254CF">
        <w:rPr>
          <w:rFonts w:cs="Arial"/>
          <w:sz w:val="22"/>
        </w:rPr>
        <w:t>price</w:t>
      </w:r>
      <w:proofErr w:type="spellEnd"/>
      <w:r w:rsidRPr="00B254CF">
        <w:rPr>
          <w:rFonts w:cs="Arial"/>
          <w:sz w:val="22"/>
        </w:rPr>
        <w:t xml:space="preserve"> in </w:t>
      </w:r>
      <w:proofErr w:type="spellStart"/>
      <w:r w:rsidRPr="00B254CF">
        <w:rPr>
          <w:rFonts w:cs="Arial"/>
          <w:sz w:val="22"/>
        </w:rPr>
        <w:t>the</w:t>
      </w:r>
      <w:proofErr w:type="spellEnd"/>
      <w:r w:rsidRPr="00B254CF">
        <w:rPr>
          <w:rFonts w:cs="Arial"/>
          <w:sz w:val="22"/>
        </w:rPr>
        <w:t xml:space="preserve"> </w:t>
      </w:r>
      <w:proofErr w:type="spellStart"/>
      <w:r w:rsidRPr="00B254CF">
        <w:rPr>
          <w:rFonts w:cs="Arial"/>
          <w:sz w:val="22"/>
        </w:rPr>
        <w:t>reference</w:t>
      </w:r>
      <w:proofErr w:type="spellEnd"/>
      <w:r w:rsidRPr="00B254CF">
        <w:rPr>
          <w:rFonts w:cs="Arial"/>
          <w:sz w:val="22"/>
        </w:rPr>
        <w:t xml:space="preserve"> </w:t>
      </w:r>
      <w:proofErr w:type="spellStart"/>
      <w:r w:rsidRPr="00B254CF">
        <w:rPr>
          <w:rFonts w:cs="Arial"/>
          <w:sz w:val="22"/>
        </w:rPr>
        <w:t>period</w:t>
      </w:r>
      <w:proofErr w:type="spellEnd"/>
      <w:r w:rsidRPr="00B254CF">
        <w:rPr>
          <w:rFonts w:cs="Arial"/>
          <w:sz w:val="22"/>
        </w:rPr>
        <w:t xml:space="preserve"> (</w:t>
      </w:r>
      <w:proofErr w:type="spellStart"/>
      <w:r w:rsidRPr="00B254CF">
        <w:rPr>
          <w:rFonts w:cs="Arial"/>
          <w:sz w:val="22"/>
        </w:rPr>
        <w:t>i.e</w:t>
      </w:r>
      <w:proofErr w:type="spellEnd"/>
      <w:r w:rsidRPr="00B254CF">
        <w:rPr>
          <w:rFonts w:cs="Arial"/>
          <w:sz w:val="22"/>
        </w:rPr>
        <w:t xml:space="preserve">. </w:t>
      </w:r>
      <w:proofErr w:type="spellStart"/>
      <w:r w:rsidRPr="00B254CF">
        <w:rPr>
          <w:rFonts w:cs="Arial"/>
          <w:sz w:val="22"/>
        </w:rPr>
        <w:t>prices</w:t>
      </w:r>
      <w:proofErr w:type="spellEnd"/>
      <w:r w:rsidRPr="00B254CF">
        <w:rPr>
          <w:rFonts w:cs="Arial"/>
          <w:sz w:val="22"/>
        </w:rPr>
        <w:t> </w:t>
      </w:r>
      <w:proofErr w:type="spellStart"/>
      <w:r w:rsidRPr="00B254CF">
        <w:rPr>
          <w:rFonts w:cs="Arial"/>
          <w:sz w:val="22"/>
        </w:rPr>
        <w:t>for</w:t>
      </w:r>
      <w:proofErr w:type="spellEnd"/>
      <w:r w:rsidRPr="00B254CF">
        <w:rPr>
          <w:rFonts w:cs="Arial"/>
          <w:sz w:val="22"/>
        </w:rPr>
        <w:t> </w:t>
      </w:r>
      <w:proofErr w:type="spellStart"/>
      <w:r w:rsidRPr="00B254CF">
        <w:rPr>
          <w:rFonts w:cs="Arial"/>
          <w:sz w:val="22"/>
        </w:rPr>
        <w:t>individual</w:t>
      </w:r>
      <w:proofErr w:type="spellEnd"/>
      <w:r w:rsidRPr="00B254CF">
        <w:rPr>
          <w:rFonts w:cs="Arial"/>
          <w:sz w:val="22"/>
        </w:rPr>
        <w:t> </w:t>
      </w:r>
      <w:proofErr w:type="spellStart"/>
      <w:r w:rsidRPr="00B254CF">
        <w:rPr>
          <w:rFonts w:cs="Arial"/>
          <w:sz w:val="22"/>
        </w:rPr>
        <w:t>months</w:t>
      </w:r>
      <w:proofErr w:type="spellEnd"/>
      <w:r w:rsidRPr="00B254CF">
        <w:rPr>
          <w:rFonts w:cs="Arial"/>
          <w:sz w:val="22"/>
        </w:rPr>
        <w:t> as </w:t>
      </w:r>
      <w:proofErr w:type="spellStart"/>
      <w:r w:rsidRPr="00B254CF">
        <w:rPr>
          <w:rFonts w:cs="Arial"/>
          <w:sz w:val="22"/>
        </w:rPr>
        <w:t>reported</w:t>
      </w:r>
      <w:proofErr w:type="spellEnd"/>
      <w:r w:rsidRPr="00B254CF">
        <w:rPr>
          <w:rFonts w:cs="Arial"/>
          <w:sz w:val="22"/>
        </w:rPr>
        <w:t> in 20</w:t>
      </w:r>
      <w:r w:rsidR="003E0BAE" w:rsidRPr="00B254CF">
        <w:rPr>
          <w:rFonts w:cs="Arial"/>
          <w:sz w:val="22"/>
        </w:rPr>
        <w:t>1</w:t>
      </w:r>
      <w:r w:rsidR="00F9589A" w:rsidRPr="00B254CF">
        <w:rPr>
          <w:rFonts w:cs="Arial"/>
          <w:sz w:val="22"/>
        </w:rPr>
        <w:t>5</w:t>
      </w:r>
      <w:r w:rsidRPr="00B254CF">
        <w:rPr>
          <w:rFonts w:cs="Arial"/>
          <w:sz w:val="22"/>
        </w:rPr>
        <w:t xml:space="preserve">),          </w:t>
      </w:r>
    </w:p>
    <w:p w:rsidR="000C17BA" w:rsidRPr="00B254CF" w:rsidRDefault="000C17BA">
      <w:pPr>
        <w:ind w:left="789" w:hanging="902"/>
        <w:rPr>
          <w:rFonts w:cs="Arial"/>
          <w:sz w:val="22"/>
          <w:vertAlign w:val="subscript"/>
        </w:rPr>
      </w:pPr>
      <w:r w:rsidRPr="00B254CF">
        <w:rPr>
          <w:rFonts w:cs="Arial"/>
        </w:rPr>
        <w:t xml:space="preserve">  p</w:t>
      </w:r>
      <w:r w:rsidRPr="00B254CF">
        <w:rPr>
          <w:rFonts w:cs="Arial"/>
          <w:vertAlign w:val="subscript"/>
        </w:rPr>
        <w:t>0</w:t>
      </w:r>
      <w:r w:rsidRPr="00B254CF">
        <w:rPr>
          <w:rFonts w:cs="Arial"/>
        </w:rPr>
        <w:t>q</w:t>
      </w:r>
      <w:r w:rsidRPr="00B254CF">
        <w:rPr>
          <w:rFonts w:cs="Arial"/>
          <w:vertAlign w:val="subscript"/>
        </w:rPr>
        <w:t xml:space="preserve">0   </w:t>
      </w:r>
      <w:r w:rsidRPr="00B254CF">
        <w:rPr>
          <w:rFonts w:cs="Arial"/>
        </w:rPr>
        <w:t xml:space="preserve">-  </w:t>
      </w:r>
      <w:proofErr w:type="spellStart"/>
      <w:r w:rsidRPr="00B254CF">
        <w:rPr>
          <w:rFonts w:cs="Arial"/>
          <w:sz w:val="22"/>
        </w:rPr>
        <w:t>the</w:t>
      </w:r>
      <w:proofErr w:type="spellEnd"/>
      <w:r w:rsidRPr="00B254CF">
        <w:rPr>
          <w:rFonts w:cs="Arial"/>
          <w:sz w:val="22"/>
        </w:rPr>
        <w:t xml:space="preserve"> </w:t>
      </w:r>
      <w:proofErr w:type="spellStart"/>
      <w:r w:rsidRPr="00B254CF">
        <w:rPr>
          <w:rFonts w:cs="Arial"/>
          <w:sz w:val="22"/>
        </w:rPr>
        <w:t>respective</w:t>
      </w:r>
      <w:proofErr w:type="spellEnd"/>
      <w:r w:rsidRPr="00B254CF">
        <w:rPr>
          <w:rFonts w:cs="Arial"/>
          <w:sz w:val="22"/>
        </w:rPr>
        <w:t xml:space="preserve"> </w:t>
      </w:r>
      <w:proofErr w:type="spellStart"/>
      <w:r w:rsidRPr="00B254CF">
        <w:rPr>
          <w:rFonts w:cs="Arial"/>
          <w:sz w:val="22"/>
        </w:rPr>
        <w:t>weight</w:t>
      </w:r>
      <w:proofErr w:type="spellEnd"/>
      <w:r w:rsidRPr="00B254CF">
        <w:rPr>
          <w:rFonts w:cs="Arial"/>
          <w:sz w:val="22"/>
        </w:rPr>
        <w:t xml:space="preserve">, </w:t>
      </w:r>
      <w:proofErr w:type="spellStart"/>
      <w:r w:rsidRPr="00B254CF">
        <w:rPr>
          <w:rFonts w:cs="Arial"/>
          <w:sz w:val="22"/>
        </w:rPr>
        <w:t>derived</w:t>
      </w:r>
      <w:proofErr w:type="spellEnd"/>
      <w:r w:rsidRPr="00B254CF">
        <w:rPr>
          <w:rFonts w:cs="Arial"/>
          <w:sz w:val="22"/>
        </w:rPr>
        <w:t xml:space="preserve"> </w:t>
      </w:r>
      <w:proofErr w:type="spellStart"/>
      <w:r w:rsidRPr="00B254CF">
        <w:rPr>
          <w:rFonts w:cs="Arial"/>
          <w:sz w:val="22"/>
        </w:rPr>
        <w:t>from</w:t>
      </w:r>
      <w:proofErr w:type="spellEnd"/>
      <w:r w:rsidRPr="00B254CF">
        <w:rPr>
          <w:rFonts w:cs="Arial"/>
          <w:sz w:val="22"/>
        </w:rPr>
        <w:t xml:space="preserve"> </w:t>
      </w:r>
      <w:proofErr w:type="spellStart"/>
      <w:r w:rsidRPr="00B254CF">
        <w:rPr>
          <w:rFonts w:cs="Arial"/>
          <w:sz w:val="22"/>
        </w:rPr>
        <w:t>the</w:t>
      </w:r>
      <w:proofErr w:type="spellEnd"/>
      <w:r w:rsidRPr="00B254CF">
        <w:rPr>
          <w:rFonts w:cs="Arial"/>
          <w:sz w:val="22"/>
        </w:rPr>
        <w:t xml:space="preserve"> </w:t>
      </w:r>
      <w:proofErr w:type="spellStart"/>
      <w:r w:rsidRPr="00B254CF">
        <w:rPr>
          <w:rFonts w:cs="Arial"/>
          <w:sz w:val="22"/>
        </w:rPr>
        <w:t>value</w:t>
      </w:r>
      <w:proofErr w:type="spellEnd"/>
      <w:r w:rsidRPr="00B254CF">
        <w:rPr>
          <w:rFonts w:cs="Arial"/>
          <w:sz w:val="22"/>
        </w:rPr>
        <w:t xml:space="preserve"> of </w:t>
      </w:r>
      <w:proofErr w:type="spellStart"/>
      <w:r w:rsidRPr="00B254CF">
        <w:rPr>
          <w:rFonts w:cs="Arial"/>
          <w:sz w:val="22"/>
        </w:rPr>
        <w:t>sales</w:t>
      </w:r>
      <w:proofErr w:type="spellEnd"/>
      <w:r w:rsidRPr="00B254CF">
        <w:rPr>
          <w:rFonts w:cs="Arial"/>
          <w:sz w:val="22"/>
        </w:rPr>
        <w:t xml:space="preserve"> </w:t>
      </w:r>
      <w:proofErr w:type="spellStart"/>
      <w:r w:rsidRPr="00B254CF">
        <w:rPr>
          <w:rFonts w:cs="Arial"/>
          <w:sz w:val="22"/>
        </w:rPr>
        <w:t>registered</w:t>
      </w:r>
      <w:proofErr w:type="spellEnd"/>
      <w:r w:rsidRPr="00B254CF">
        <w:rPr>
          <w:rFonts w:cs="Arial"/>
          <w:sz w:val="22"/>
        </w:rPr>
        <w:t xml:space="preserve"> in </w:t>
      </w:r>
      <w:proofErr w:type="spellStart"/>
      <w:r w:rsidRPr="00B254CF">
        <w:rPr>
          <w:rFonts w:cs="Arial"/>
          <w:sz w:val="22"/>
        </w:rPr>
        <w:t>the</w:t>
      </w:r>
      <w:proofErr w:type="spellEnd"/>
      <w:r w:rsidRPr="00B254CF">
        <w:rPr>
          <w:rFonts w:cs="Arial"/>
          <w:sz w:val="22"/>
        </w:rPr>
        <w:t xml:space="preserve"> </w:t>
      </w:r>
      <w:proofErr w:type="spellStart"/>
      <w:r w:rsidRPr="00B254CF">
        <w:rPr>
          <w:rFonts w:cs="Arial"/>
          <w:sz w:val="22"/>
        </w:rPr>
        <w:t>reference</w:t>
      </w:r>
      <w:proofErr w:type="spellEnd"/>
      <w:r w:rsidRPr="00B254CF">
        <w:rPr>
          <w:rFonts w:cs="Arial"/>
          <w:sz w:val="22"/>
        </w:rPr>
        <w:t xml:space="preserve">            </w:t>
      </w:r>
      <w:proofErr w:type="spellStart"/>
      <w:r w:rsidRPr="00B254CF">
        <w:rPr>
          <w:rFonts w:cs="Arial"/>
          <w:sz w:val="22"/>
        </w:rPr>
        <w:t>period</w:t>
      </w:r>
      <w:proofErr w:type="spellEnd"/>
      <w:r w:rsidRPr="00B254CF">
        <w:rPr>
          <w:rFonts w:cs="Arial"/>
          <w:sz w:val="22"/>
        </w:rPr>
        <w:t xml:space="preserve"> (</w:t>
      </w:r>
      <w:proofErr w:type="spellStart"/>
      <w:r w:rsidRPr="00B254CF">
        <w:rPr>
          <w:rFonts w:cs="Arial"/>
          <w:sz w:val="22"/>
        </w:rPr>
        <w:t>average</w:t>
      </w:r>
      <w:proofErr w:type="spellEnd"/>
      <w:r w:rsidRPr="00B254CF">
        <w:rPr>
          <w:rFonts w:cs="Arial"/>
          <w:sz w:val="22"/>
        </w:rPr>
        <w:t xml:space="preserve"> of </w:t>
      </w:r>
      <w:proofErr w:type="spellStart"/>
      <w:r w:rsidRPr="00B254CF">
        <w:rPr>
          <w:rFonts w:cs="Arial"/>
          <w:sz w:val="22"/>
        </w:rPr>
        <w:t>the</w:t>
      </w:r>
      <w:proofErr w:type="spellEnd"/>
      <w:r w:rsidRPr="00B254CF">
        <w:rPr>
          <w:rFonts w:cs="Arial"/>
          <w:sz w:val="22"/>
        </w:rPr>
        <w:t xml:space="preserve"> 20</w:t>
      </w:r>
      <w:r w:rsidR="00F9589A" w:rsidRPr="00B254CF">
        <w:rPr>
          <w:rFonts w:cs="Arial"/>
          <w:sz w:val="22"/>
        </w:rPr>
        <w:t>14</w:t>
      </w:r>
      <w:r w:rsidRPr="00B254CF">
        <w:rPr>
          <w:rFonts w:cs="Arial"/>
          <w:sz w:val="22"/>
        </w:rPr>
        <w:t>-20</w:t>
      </w:r>
      <w:r w:rsidR="003E0BAE" w:rsidRPr="00B254CF">
        <w:rPr>
          <w:rFonts w:cs="Arial"/>
          <w:sz w:val="22"/>
        </w:rPr>
        <w:t>1</w:t>
      </w:r>
      <w:r w:rsidR="00F9589A" w:rsidRPr="00B254CF">
        <w:rPr>
          <w:rFonts w:cs="Arial"/>
          <w:sz w:val="22"/>
        </w:rPr>
        <w:t>6</w:t>
      </w:r>
      <w:r w:rsidRPr="00B254CF">
        <w:rPr>
          <w:rFonts w:cs="Arial"/>
          <w:sz w:val="22"/>
        </w:rPr>
        <w:t xml:space="preserve"> </w:t>
      </w:r>
      <w:proofErr w:type="spellStart"/>
      <w:r w:rsidRPr="00B254CF">
        <w:rPr>
          <w:rFonts w:cs="Arial"/>
          <w:sz w:val="22"/>
        </w:rPr>
        <w:t>period</w:t>
      </w:r>
      <w:proofErr w:type="spellEnd"/>
      <w:r w:rsidRPr="00B254CF">
        <w:rPr>
          <w:rFonts w:cs="Arial"/>
          <w:sz w:val="22"/>
        </w:rPr>
        <w:t xml:space="preserve">), in </w:t>
      </w:r>
      <w:proofErr w:type="spellStart"/>
      <w:r w:rsidRPr="00B254CF">
        <w:rPr>
          <w:rFonts w:cs="Arial"/>
          <w:sz w:val="22"/>
        </w:rPr>
        <w:t>relative</w:t>
      </w:r>
      <w:proofErr w:type="spellEnd"/>
      <w:r w:rsidRPr="00B254CF">
        <w:rPr>
          <w:rFonts w:cs="Arial"/>
          <w:sz w:val="22"/>
        </w:rPr>
        <w:t xml:space="preserve"> </w:t>
      </w:r>
      <w:proofErr w:type="spellStart"/>
      <w:r w:rsidRPr="00B254CF">
        <w:rPr>
          <w:rFonts w:cs="Arial"/>
          <w:sz w:val="22"/>
        </w:rPr>
        <w:t>terms</w:t>
      </w:r>
      <w:proofErr w:type="spellEnd"/>
      <w:r w:rsidRPr="00B254CF">
        <w:rPr>
          <w:rFonts w:cs="Arial"/>
          <w:sz w:val="22"/>
        </w:rPr>
        <w:tab/>
      </w:r>
    </w:p>
    <w:p w:rsidR="000C17BA" w:rsidRPr="00B254CF" w:rsidRDefault="000C17BA">
      <w:pPr>
        <w:pStyle w:val="Nadpis1"/>
        <w:jc w:val="center"/>
        <w:rPr>
          <w:b w:val="0"/>
          <w:bCs w:val="0"/>
          <w:sz w:val="20"/>
          <w:lang w:val="sk-SK"/>
        </w:rPr>
      </w:pPr>
    </w:p>
    <w:p w:rsidR="000C17BA" w:rsidRPr="00B254CF" w:rsidRDefault="000C17BA">
      <w:pPr>
        <w:rPr>
          <w:rFonts w:cs="Arial"/>
          <w:sz w:val="22"/>
          <w:vertAlign w:val="subscript"/>
        </w:rPr>
      </w:pPr>
    </w:p>
    <w:p w:rsidR="00492A81" w:rsidRPr="00B254CF" w:rsidRDefault="00492A81">
      <w:pPr>
        <w:rPr>
          <w:rFonts w:cs="Arial"/>
          <w:sz w:val="22"/>
          <w:vertAlign w:val="subscript"/>
        </w:rPr>
      </w:pPr>
    </w:p>
    <w:p w:rsidR="00066626" w:rsidRPr="007A1E39" w:rsidRDefault="00066626" w:rsidP="00066626">
      <w:pPr>
        <w:pStyle w:val="Nadpis4"/>
        <w:widowControl w:val="0"/>
        <w:rPr>
          <w:rFonts w:ascii="Arial" w:hAnsi="Arial"/>
          <w:b w:val="0"/>
          <w:bCs/>
          <w:sz w:val="30"/>
        </w:rPr>
      </w:pPr>
      <w:r w:rsidRPr="007A1E39">
        <w:rPr>
          <w:rFonts w:ascii="Arial" w:hAnsi="Arial"/>
          <w:b w:val="0"/>
          <w:bCs/>
          <w:sz w:val="30"/>
        </w:rPr>
        <w:lastRenderedPageBreak/>
        <w:t xml:space="preserve">KOMENTÁR K VÝVOJU CIEN </w:t>
      </w:r>
      <w:r>
        <w:rPr>
          <w:rFonts w:ascii="Arial" w:hAnsi="Arial"/>
          <w:b w:val="0"/>
          <w:bCs/>
          <w:sz w:val="30"/>
        </w:rPr>
        <w:t>V DECEMBRI</w:t>
      </w:r>
      <w:r w:rsidRPr="007A1E39">
        <w:rPr>
          <w:rFonts w:ascii="Arial" w:hAnsi="Arial"/>
          <w:b w:val="0"/>
          <w:bCs/>
          <w:sz w:val="30"/>
        </w:rPr>
        <w:tab/>
      </w:r>
    </w:p>
    <w:p w:rsidR="00066626" w:rsidRPr="007A1E39" w:rsidRDefault="00066626" w:rsidP="00066626">
      <w:pPr>
        <w:spacing w:after="100"/>
        <w:jc w:val="both"/>
      </w:pPr>
    </w:p>
    <w:p w:rsidR="00066626" w:rsidRPr="007A1E39" w:rsidRDefault="00066626" w:rsidP="00066626">
      <w:pPr>
        <w:spacing w:after="100" w:line="276" w:lineRule="auto"/>
        <w:ind w:firstLine="708"/>
        <w:jc w:val="both"/>
        <w:rPr>
          <w:rFonts w:cs="Arial"/>
          <w:szCs w:val="21"/>
        </w:rPr>
      </w:pPr>
      <w:r w:rsidRPr="007A1E39">
        <w:rPr>
          <w:rFonts w:cs="Arial"/>
          <w:szCs w:val="21"/>
        </w:rPr>
        <w:t>V</w:t>
      </w:r>
      <w:r>
        <w:rPr>
          <w:rFonts w:cs="Arial"/>
          <w:szCs w:val="21"/>
        </w:rPr>
        <w:t xml:space="preserve"> </w:t>
      </w:r>
      <w:r>
        <w:rPr>
          <w:rFonts w:cs="Arial"/>
          <w:i/>
          <w:szCs w:val="21"/>
        </w:rPr>
        <w:t xml:space="preserve">decembri </w:t>
      </w:r>
      <w:r w:rsidRPr="00E94E1D">
        <w:rPr>
          <w:rFonts w:cs="Arial"/>
          <w:szCs w:val="21"/>
        </w:rPr>
        <w:t>boli</w:t>
      </w:r>
      <w:r>
        <w:rPr>
          <w:rFonts w:cs="Arial"/>
          <w:i/>
          <w:szCs w:val="21"/>
        </w:rPr>
        <w:t xml:space="preserve"> </w:t>
      </w:r>
      <w:r w:rsidRPr="007A1E39">
        <w:rPr>
          <w:rFonts w:cs="Arial"/>
          <w:szCs w:val="21"/>
        </w:rPr>
        <w:t>ceny poľnohospodárskych výrobkov medziročne </w:t>
      </w:r>
      <w:r>
        <w:rPr>
          <w:rFonts w:cs="Arial"/>
          <w:szCs w:val="21"/>
        </w:rPr>
        <w:t xml:space="preserve">nižšie </w:t>
      </w:r>
      <w:r w:rsidRPr="00974907">
        <w:rPr>
          <w:rFonts w:cs="Arial"/>
          <w:szCs w:val="21"/>
        </w:rPr>
        <w:t>o</w:t>
      </w:r>
      <w:r>
        <w:rPr>
          <w:rFonts w:cs="Arial"/>
          <w:szCs w:val="21"/>
        </w:rPr>
        <w:t> 0,2</w:t>
      </w:r>
      <w:r w:rsidRPr="00974907">
        <w:rPr>
          <w:rFonts w:cs="Arial"/>
          <w:szCs w:val="21"/>
        </w:rPr>
        <w:t> %.</w:t>
      </w:r>
      <w:r w:rsidRPr="007A1E39">
        <w:rPr>
          <w:rFonts w:cs="Arial"/>
          <w:szCs w:val="21"/>
        </w:rPr>
        <w:t xml:space="preserve"> </w:t>
      </w:r>
      <w:r>
        <w:rPr>
          <w:rFonts w:cs="Arial"/>
          <w:szCs w:val="21"/>
        </w:rPr>
        <w:t xml:space="preserve">Ceny </w:t>
      </w:r>
      <w:r w:rsidRPr="007A1E39">
        <w:rPr>
          <w:rFonts w:cs="Arial"/>
          <w:szCs w:val="21"/>
        </w:rPr>
        <w:t xml:space="preserve">rastlinných výrobkov </w:t>
      </w:r>
      <w:r>
        <w:rPr>
          <w:rFonts w:cs="Arial"/>
          <w:szCs w:val="21"/>
        </w:rPr>
        <w:t>vzrástli o 2,1 %. C</w:t>
      </w:r>
      <w:r w:rsidRPr="007A1E39">
        <w:rPr>
          <w:rFonts w:cs="Arial"/>
          <w:szCs w:val="21"/>
        </w:rPr>
        <w:t>eny živočíšnych výrobkov</w:t>
      </w:r>
      <w:r>
        <w:rPr>
          <w:rFonts w:cs="Arial"/>
          <w:szCs w:val="21"/>
        </w:rPr>
        <w:t xml:space="preserve"> klesli </w:t>
      </w:r>
      <w:r w:rsidRPr="007A1E39">
        <w:rPr>
          <w:rFonts w:cs="Arial"/>
          <w:szCs w:val="21"/>
        </w:rPr>
        <w:t>o</w:t>
      </w:r>
      <w:r>
        <w:rPr>
          <w:rFonts w:cs="Arial"/>
          <w:szCs w:val="21"/>
        </w:rPr>
        <w:t> 3,9</w:t>
      </w:r>
      <w:r w:rsidRPr="007A1E39">
        <w:rPr>
          <w:rFonts w:cs="Arial"/>
          <w:iCs/>
          <w:szCs w:val="21"/>
        </w:rPr>
        <w:t> </w:t>
      </w:r>
      <w:r w:rsidRPr="007A1E39">
        <w:rPr>
          <w:rFonts w:cs="Arial"/>
          <w:szCs w:val="21"/>
        </w:rPr>
        <w:t>%.</w:t>
      </w:r>
    </w:p>
    <w:p w:rsidR="00066626" w:rsidRDefault="00066626" w:rsidP="00066626">
      <w:pPr>
        <w:spacing w:after="100" w:line="276" w:lineRule="auto"/>
        <w:ind w:firstLine="708"/>
        <w:jc w:val="both"/>
        <w:rPr>
          <w:rFonts w:cs="Arial"/>
          <w:szCs w:val="21"/>
        </w:rPr>
      </w:pPr>
      <w:r w:rsidRPr="007A1E39">
        <w:rPr>
          <w:rFonts w:cs="Arial"/>
          <w:szCs w:val="21"/>
        </w:rPr>
        <w:t xml:space="preserve">Z rastlinných výrobkov </w:t>
      </w:r>
      <w:r>
        <w:rPr>
          <w:rFonts w:cs="Arial"/>
          <w:szCs w:val="21"/>
        </w:rPr>
        <w:t xml:space="preserve">vzrástli ceny </w:t>
      </w:r>
      <w:r w:rsidRPr="007A1E39">
        <w:rPr>
          <w:rFonts w:cs="Arial"/>
          <w:szCs w:val="21"/>
        </w:rPr>
        <w:t>olejnatých plodov a semien o</w:t>
      </w:r>
      <w:r>
        <w:rPr>
          <w:rFonts w:cs="Arial"/>
          <w:szCs w:val="21"/>
        </w:rPr>
        <w:t> 7,9</w:t>
      </w:r>
      <w:r>
        <w:t> </w:t>
      </w:r>
      <w:r w:rsidRPr="007A1E39">
        <w:rPr>
          <w:rFonts w:cs="Arial"/>
          <w:szCs w:val="21"/>
        </w:rPr>
        <w:t>%</w:t>
      </w:r>
      <w:r>
        <w:rPr>
          <w:rFonts w:cs="Arial"/>
          <w:szCs w:val="21"/>
        </w:rPr>
        <w:t xml:space="preserve"> a c</w:t>
      </w:r>
      <w:r w:rsidRPr="007A1E39">
        <w:rPr>
          <w:rFonts w:cs="Arial"/>
          <w:szCs w:val="21"/>
        </w:rPr>
        <w:t>eny</w:t>
      </w:r>
      <w:r>
        <w:rPr>
          <w:rFonts w:cs="Arial"/>
          <w:szCs w:val="21"/>
        </w:rPr>
        <w:t xml:space="preserve"> </w:t>
      </w:r>
      <w:r w:rsidRPr="007A1E39">
        <w:rPr>
          <w:rFonts w:cs="Arial"/>
          <w:szCs w:val="21"/>
        </w:rPr>
        <w:t>obilnín o</w:t>
      </w:r>
      <w:r>
        <w:rPr>
          <w:rFonts w:cs="Arial"/>
          <w:szCs w:val="21"/>
        </w:rPr>
        <w:t> 3,4</w:t>
      </w:r>
      <w:r>
        <w:t> </w:t>
      </w:r>
      <w:r w:rsidRPr="007A1E39">
        <w:rPr>
          <w:rFonts w:cs="Arial"/>
          <w:szCs w:val="21"/>
        </w:rPr>
        <w:t>%</w:t>
      </w:r>
      <w:r>
        <w:rPr>
          <w:rFonts w:cs="Arial"/>
          <w:szCs w:val="21"/>
        </w:rPr>
        <w:t xml:space="preserve">. Klesli </w:t>
      </w:r>
      <w:r w:rsidRPr="007A1E39">
        <w:rPr>
          <w:rFonts w:cs="Arial"/>
          <w:szCs w:val="21"/>
        </w:rPr>
        <w:t>ceny</w:t>
      </w:r>
      <w:r>
        <w:rPr>
          <w:rFonts w:cs="Arial"/>
          <w:szCs w:val="21"/>
        </w:rPr>
        <w:t xml:space="preserve"> </w:t>
      </w:r>
      <w:r w:rsidRPr="007A1E39">
        <w:rPr>
          <w:rFonts w:cs="Arial"/>
          <w:szCs w:val="21"/>
        </w:rPr>
        <w:t>zemiakov o</w:t>
      </w:r>
      <w:r>
        <w:rPr>
          <w:rFonts w:cs="Arial"/>
          <w:szCs w:val="21"/>
        </w:rPr>
        <w:t> 14</w:t>
      </w:r>
      <w:r w:rsidRPr="007A1E39">
        <w:rPr>
          <w:rFonts w:cs="Arial"/>
          <w:iCs/>
          <w:szCs w:val="21"/>
        </w:rPr>
        <w:t> </w:t>
      </w:r>
      <w:r w:rsidRPr="007A1E39">
        <w:rPr>
          <w:rFonts w:cs="Arial"/>
          <w:szCs w:val="21"/>
        </w:rPr>
        <w:t>%</w:t>
      </w:r>
      <w:r>
        <w:rPr>
          <w:rFonts w:cs="Arial"/>
          <w:szCs w:val="21"/>
        </w:rPr>
        <w:t xml:space="preserve"> a ceny</w:t>
      </w:r>
      <w:r w:rsidRPr="007A1E39">
        <w:rPr>
          <w:rFonts w:cs="Arial"/>
          <w:szCs w:val="21"/>
        </w:rPr>
        <w:t xml:space="preserve"> ovocia a</w:t>
      </w:r>
      <w:r>
        <w:rPr>
          <w:rFonts w:cs="Arial"/>
          <w:szCs w:val="21"/>
        </w:rPr>
        <w:t> </w:t>
      </w:r>
      <w:r w:rsidRPr="007A1E39">
        <w:rPr>
          <w:rFonts w:cs="Arial"/>
          <w:szCs w:val="21"/>
        </w:rPr>
        <w:t>zeleniny</w:t>
      </w:r>
      <w:r>
        <w:rPr>
          <w:rFonts w:cs="Arial"/>
          <w:szCs w:val="21"/>
        </w:rPr>
        <w:t xml:space="preserve"> o 1,4 %. Ceny </w:t>
      </w:r>
      <w:r w:rsidRPr="007A1E39">
        <w:rPr>
          <w:rFonts w:cs="Arial"/>
          <w:szCs w:val="21"/>
        </w:rPr>
        <w:t xml:space="preserve">strukovín </w:t>
      </w:r>
      <w:r>
        <w:rPr>
          <w:rFonts w:cs="Arial"/>
          <w:szCs w:val="21"/>
        </w:rPr>
        <w:t>ostali nezmenené.</w:t>
      </w:r>
    </w:p>
    <w:p w:rsidR="00066626" w:rsidRDefault="00066626" w:rsidP="00066626">
      <w:pPr>
        <w:spacing w:after="100" w:line="276" w:lineRule="auto"/>
        <w:ind w:firstLine="708"/>
        <w:jc w:val="both"/>
        <w:rPr>
          <w:rFonts w:cs="Arial"/>
          <w:szCs w:val="21"/>
        </w:rPr>
      </w:pPr>
      <w:r w:rsidRPr="007A1E39">
        <w:rPr>
          <w:rFonts w:cs="Arial"/>
          <w:szCs w:val="21"/>
        </w:rPr>
        <w:t>Zo živočíšnych výrobkov sa zvýšili</w:t>
      </w:r>
      <w:r>
        <w:rPr>
          <w:rFonts w:cs="Arial"/>
          <w:szCs w:val="21"/>
        </w:rPr>
        <w:t xml:space="preserve"> </w:t>
      </w:r>
      <w:r w:rsidRPr="007A1E39">
        <w:rPr>
          <w:rFonts w:cs="Arial"/>
          <w:szCs w:val="21"/>
        </w:rPr>
        <w:t xml:space="preserve">ceny živých rýb </w:t>
      </w:r>
      <w:r>
        <w:rPr>
          <w:rFonts w:cs="Arial"/>
          <w:szCs w:val="21"/>
        </w:rPr>
        <w:t xml:space="preserve">o 2,9 % a ceny jatočných oviec a jahniat o 0,4 %. Klesli ceny </w:t>
      </w:r>
      <w:r w:rsidRPr="007A1E39">
        <w:rPr>
          <w:rFonts w:cs="Arial"/>
          <w:szCs w:val="21"/>
        </w:rPr>
        <w:t>surovej ovčej vlny v pote o</w:t>
      </w:r>
      <w:r>
        <w:rPr>
          <w:rFonts w:cs="Arial"/>
          <w:szCs w:val="21"/>
        </w:rPr>
        <w:t> 30 </w:t>
      </w:r>
      <w:r w:rsidRPr="007A1E39">
        <w:rPr>
          <w:rFonts w:cs="Arial"/>
          <w:szCs w:val="21"/>
        </w:rPr>
        <w:t>%</w:t>
      </w:r>
      <w:r>
        <w:rPr>
          <w:rFonts w:cs="Arial"/>
          <w:szCs w:val="21"/>
        </w:rPr>
        <w:t xml:space="preserve">, ceny </w:t>
      </w:r>
      <w:r w:rsidRPr="007A1E39">
        <w:rPr>
          <w:rFonts w:cs="Arial"/>
          <w:szCs w:val="21"/>
        </w:rPr>
        <w:t>jatočnej hydiny o</w:t>
      </w:r>
      <w:r>
        <w:rPr>
          <w:rFonts w:cs="Arial"/>
          <w:szCs w:val="21"/>
        </w:rPr>
        <w:t> 9,1 </w:t>
      </w:r>
      <w:r w:rsidRPr="007A1E39">
        <w:rPr>
          <w:rFonts w:cs="Arial"/>
          <w:szCs w:val="21"/>
        </w:rPr>
        <w:t>%</w:t>
      </w:r>
      <w:r>
        <w:rPr>
          <w:rFonts w:cs="Arial"/>
          <w:szCs w:val="21"/>
        </w:rPr>
        <w:t>, c</w:t>
      </w:r>
      <w:r w:rsidRPr="007A1E39">
        <w:rPr>
          <w:rFonts w:cs="Arial"/>
          <w:szCs w:val="21"/>
        </w:rPr>
        <w:t>eny jatočných ošípaných</w:t>
      </w:r>
      <w:r>
        <w:rPr>
          <w:rFonts w:cs="Arial"/>
          <w:szCs w:val="21"/>
        </w:rPr>
        <w:t xml:space="preserve"> o 4,9 %, ceny </w:t>
      </w:r>
      <w:r w:rsidRPr="007A1E39">
        <w:rPr>
          <w:rFonts w:cs="Arial"/>
          <w:szCs w:val="21"/>
        </w:rPr>
        <w:t>hovädzieho dobytka vrátane teliat o</w:t>
      </w:r>
      <w:r>
        <w:rPr>
          <w:rFonts w:cs="Arial"/>
          <w:szCs w:val="21"/>
        </w:rPr>
        <w:t xml:space="preserve"> 2,3 %, </w:t>
      </w:r>
      <w:r w:rsidRPr="007A1E39">
        <w:rPr>
          <w:rFonts w:cs="Arial"/>
          <w:szCs w:val="21"/>
        </w:rPr>
        <w:t>ceny konzumných slepačích vajec o</w:t>
      </w:r>
      <w:r>
        <w:rPr>
          <w:rFonts w:cs="Arial"/>
          <w:szCs w:val="21"/>
        </w:rPr>
        <w:t xml:space="preserve"> 1,5 % a ceny </w:t>
      </w:r>
      <w:r w:rsidRPr="007A1E39">
        <w:rPr>
          <w:rFonts w:cs="Arial"/>
          <w:szCs w:val="21"/>
        </w:rPr>
        <w:t>surového kravského mlieka</w:t>
      </w:r>
      <w:r>
        <w:rPr>
          <w:rFonts w:cs="Arial"/>
          <w:szCs w:val="21"/>
        </w:rPr>
        <w:t xml:space="preserve"> o 0,4 %.</w:t>
      </w:r>
    </w:p>
    <w:p w:rsidR="00066626" w:rsidRDefault="00066626" w:rsidP="00066626">
      <w:pPr>
        <w:spacing w:after="100" w:line="276" w:lineRule="auto"/>
        <w:ind w:firstLine="708"/>
        <w:jc w:val="both"/>
        <w:rPr>
          <w:rFonts w:cs="Arial"/>
          <w:szCs w:val="21"/>
        </w:rPr>
      </w:pPr>
      <w:r w:rsidRPr="00313055">
        <w:rPr>
          <w:rFonts w:cs="Arial"/>
          <w:szCs w:val="21"/>
        </w:rPr>
        <w:t xml:space="preserve">Od začiatku roka </w:t>
      </w:r>
      <w:r>
        <w:rPr>
          <w:rFonts w:cs="Arial"/>
          <w:szCs w:val="21"/>
        </w:rPr>
        <w:t>vzrástli</w:t>
      </w:r>
      <w:r w:rsidRPr="00313055">
        <w:rPr>
          <w:rFonts w:cs="Arial"/>
          <w:szCs w:val="21"/>
        </w:rPr>
        <w:t xml:space="preserve"> ceny poľnohospodárskych výrobkov v priemere o</w:t>
      </w:r>
      <w:r>
        <w:rPr>
          <w:rFonts w:cs="Arial"/>
          <w:szCs w:val="21"/>
        </w:rPr>
        <w:t> 0,4 % vplyvom vyšších cien živočíšnych výrobkov o 0,7</w:t>
      </w:r>
      <w:r w:rsidRPr="00313055">
        <w:rPr>
          <w:rFonts w:cs="Arial"/>
          <w:szCs w:val="21"/>
        </w:rPr>
        <w:t> %</w:t>
      </w:r>
      <w:r>
        <w:rPr>
          <w:rFonts w:cs="Arial"/>
          <w:szCs w:val="21"/>
        </w:rPr>
        <w:t xml:space="preserve"> a vyšších cien rastlinných výrobkov o 0,2 %. </w:t>
      </w:r>
    </w:p>
    <w:p w:rsidR="00136B63" w:rsidRDefault="00136B63" w:rsidP="00136B63"/>
    <w:p w:rsidR="000C17BA" w:rsidRPr="003E0BAE" w:rsidRDefault="00136B63" w:rsidP="00710D1A">
      <w:pPr>
        <w:pStyle w:val="Nadpis4"/>
        <w:widowControl w:val="0"/>
      </w:pPr>
      <w:r>
        <w:t xml:space="preserve"> </w:t>
      </w:r>
      <w:bookmarkStart w:id="0" w:name="_GoBack"/>
      <w:bookmarkEnd w:id="0"/>
    </w:p>
    <w:sectPr w:rsidR="000C17BA" w:rsidRPr="003E0BAE" w:rsidSect="0017323A">
      <w:pgSz w:w="11906" w:h="16838"/>
      <w:pgMar w:top="1418" w:right="926"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Compacta AT">
    <w:altName w:val="Times New Roman"/>
    <w:charset w:val="00"/>
    <w:family w:val="auto"/>
    <w:pitch w:val="variable"/>
    <w:sig w:usb0="00000001" w:usb1="00000000" w:usb2="00000000" w:usb3="00000000" w:csb0="00000003" w:csb1="00000000"/>
  </w:font>
  <w:font w:name="Tms Rmn">
    <w:panose1 w:val="02020603040505020304"/>
    <w:charset w:val="00"/>
    <w:family w:val="roman"/>
    <w:notTrueType/>
    <w:pitch w:val="variable"/>
    <w:sig w:usb0="00000003" w:usb1="00000000" w:usb2="00000000" w:usb3="00000000" w:csb0="00000001" w:csb1="00000000"/>
  </w:font>
  <w:font w:name="Compacta Bd AT">
    <w:altName w:val="Times New Roman"/>
    <w:charset w:val="00"/>
    <w:family w:val="auto"/>
    <w:pitch w:val="variable"/>
    <w:sig w:usb0="00000001" w:usb1="00000000" w:usb2="00000000" w:usb3="00000000" w:csb0="00000003"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035D44"/>
    <w:multiLevelType w:val="hybridMultilevel"/>
    <w:tmpl w:val="9BE66890"/>
    <w:lvl w:ilvl="0" w:tplc="7F181A2E">
      <w:numFmt w:val="bullet"/>
      <w:lvlText w:val=""/>
      <w:lvlJc w:val="left"/>
      <w:pPr>
        <w:tabs>
          <w:tab w:val="num" w:pos="3195"/>
        </w:tabs>
        <w:ind w:left="3195" w:hanging="360"/>
      </w:pPr>
      <w:rPr>
        <w:rFonts w:ascii="Symbol" w:eastAsia="Times New Roman" w:hAnsi="Symbol" w:cs="Arial" w:hint="default"/>
      </w:rPr>
    </w:lvl>
    <w:lvl w:ilvl="1" w:tplc="04050003" w:tentative="1">
      <w:start w:val="1"/>
      <w:numFmt w:val="bullet"/>
      <w:lvlText w:val="o"/>
      <w:lvlJc w:val="left"/>
      <w:pPr>
        <w:tabs>
          <w:tab w:val="num" w:pos="3915"/>
        </w:tabs>
        <w:ind w:left="3915" w:hanging="360"/>
      </w:pPr>
      <w:rPr>
        <w:rFonts w:ascii="Courier New" w:hAnsi="Courier New" w:hint="default"/>
      </w:rPr>
    </w:lvl>
    <w:lvl w:ilvl="2" w:tplc="04050005" w:tentative="1">
      <w:start w:val="1"/>
      <w:numFmt w:val="bullet"/>
      <w:lvlText w:val=""/>
      <w:lvlJc w:val="left"/>
      <w:pPr>
        <w:tabs>
          <w:tab w:val="num" w:pos="4635"/>
        </w:tabs>
        <w:ind w:left="4635" w:hanging="360"/>
      </w:pPr>
      <w:rPr>
        <w:rFonts w:ascii="Wingdings" w:hAnsi="Wingdings" w:hint="default"/>
      </w:rPr>
    </w:lvl>
    <w:lvl w:ilvl="3" w:tplc="04050001" w:tentative="1">
      <w:start w:val="1"/>
      <w:numFmt w:val="bullet"/>
      <w:lvlText w:val=""/>
      <w:lvlJc w:val="left"/>
      <w:pPr>
        <w:tabs>
          <w:tab w:val="num" w:pos="5355"/>
        </w:tabs>
        <w:ind w:left="5355" w:hanging="360"/>
      </w:pPr>
      <w:rPr>
        <w:rFonts w:ascii="Symbol" w:hAnsi="Symbol" w:hint="default"/>
      </w:rPr>
    </w:lvl>
    <w:lvl w:ilvl="4" w:tplc="04050003" w:tentative="1">
      <w:start w:val="1"/>
      <w:numFmt w:val="bullet"/>
      <w:lvlText w:val="o"/>
      <w:lvlJc w:val="left"/>
      <w:pPr>
        <w:tabs>
          <w:tab w:val="num" w:pos="6075"/>
        </w:tabs>
        <w:ind w:left="6075" w:hanging="360"/>
      </w:pPr>
      <w:rPr>
        <w:rFonts w:ascii="Courier New" w:hAnsi="Courier New" w:hint="default"/>
      </w:rPr>
    </w:lvl>
    <w:lvl w:ilvl="5" w:tplc="04050005" w:tentative="1">
      <w:start w:val="1"/>
      <w:numFmt w:val="bullet"/>
      <w:lvlText w:val=""/>
      <w:lvlJc w:val="left"/>
      <w:pPr>
        <w:tabs>
          <w:tab w:val="num" w:pos="6795"/>
        </w:tabs>
        <w:ind w:left="6795" w:hanging="360"/>
      </w:pPr>
      <w:rPr>
        <w:rFonts w:ascii="Wingdings" w:hAnsi="Wingdings" w:hint="default"/>
      </w:rPr>
    </w:lvl>
    <w:lvl w:ilvl="6" w:tplc="04050001" w:tentative="1">
      <w:start w:val="1"/>
      <w:numFmt w:val="bullet"/>
      <w:lvlText w:val=""/>
      <w:lvlJc w:val="left"/>
      <w:pPr>
        <w:tabs>
          <w:tab w:val="num" w:pos="7515"/>
        </w:tabs>
        <w:ind w:left="7515" w:hanging="360"/>
      </w:pPr>
      <w:rPr>
        <w:rFonts w:ascii="Symbol" w:hAnsi="Symbol" w:hint="default"/>
      </w:rPr>
    </w:lvl>
    <w:lvl w:ilvl="7" w:tplc="04050003" w:tentative="1">
      <w:start w:val="1"/>
      <w:numFmt w:val="bullet"/>
      <w:lvlText w:val="o"/>
      <w:lvlJc w:val="left"/>
      <w:pPr>
        <w:tabs>
          <w:tab w:val="num" w:pos="8235"/>
        </w:tabs>
        <w:ind w:left="8235" w:hanging="360"/>
      </w:pPr>
      <w:rPr>
        <w:rFonts w:ascii="Courier New" w:hAnsi="Courier New" w:hint="default"/>
      </w:rPr>
    </w:lvl>
    <w:lvl w:ilvl="8" w:tplc="04050005" w:tentative="1">
      <w:start w:val="1"/>
      <w:numFmt w:val="bullet"/>
      <w:lvlText w:val=""/>
      <w:lvlJc w:val="left"/>
      <w:pPr>
        <w:tabs>
          <w:tab w:val="num" w:pos="8955"/>
        </w:tabs>
        <w:ind w:left="8955" w:hanging="360"/>
      </w:pPr>
      <w:rPr>
        <w:rFonts w:ascii="Wingdings" w:hAnsi="Wingdings" w:hint="default"/>
      </w:rPr>
    </w:lvl>
  </w:abstractNum>
  <w:abstractNum w:abstractNumId="1" w15:restartNumberingAfterBreak="0">
    <w:nsid w:val="60266115"/>
    <w:multiLevelType w:val="hybridMultilevel"/>
    <w:tmpl w:val="A2620224"/>
    <w:lvl w:ilvl="0" w:tplc="F6C6AEDC">
      <w:numFmt w:val="bullet"/>
      <w:lvlText w:val="-"/>
      <w:lvlJc w:val="left"/>
      <w:pPr>
        <w:tabs>
          <w:tab w:val="num" w:pos="1653"/>
        </w:tabs>
        <w:ind w:left="1653" w:hanging="945"/>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166"/>
    <w:rsid w:val="00010F02"/>
    <w:rsid w:val="0001436B"/>
    <w:rsid w:val="00026E6E"/>
    <w:rsid w:val="00066626"/>
    <w:rsid w:val="0007366A"/>
    <w:rsid w:val="000769EC"/>
    <w:rsid w:val="00091864"/>
    <w:rsid w:val="0009218C"/>
    <w:rsid w:val="00097089"/>
    <w:rsid w:val="000A2414"/>
    <w:rsid w:val="000C17BA"/>
    <w:rsid w:val="000C291E"/>
    <w:rsid w:val="000C4D31"/>
    <w:rsid w:val="000D68FB"/>
    <w:rsid w:val="000E0ED4"/>
    <w:rsid w:val="000E20A7"/>
    <w:rsid w:val="000F0265"/>
    <w:rsid w:val="000F1D88"/>
    <w:rsid w:val="000F4F21"/>
    <w:rsid w:val="00104F06"/>
    <w:rsid w:val="00106AFA"/>
    <w:rsid w:val="00115238"/>
    <w:rsid w:val="00117754"/>
    <w:rsid w:val="00136B63"/>
    <w:rsid w:val="00137768"/>
    <w:rsid w:val="00154ED3"/>
    <w:rsid w:val="001559E8"/>
    <w:rsid w:val="00157EC0"/>
    <w:rsid w:val="0016160D"/>
    <w:rsid w:val="001679F2"/>
    <w:rsid w:val="0017323A"/>
    <w:rsid w:val="001A77CD"/>
    <w:rsid w:val="001C5F9D"/>
    <w:rsid w:val="001C6FE9"/>
    <w:rsid w:val="001D0594"/>
    <w:rsid w:val="001D3575"/>
    <w:rsid w:val="001E6980"/>
    <w:rsid w:val="002008AE"/>
    <w:rsid w:val="002055AE"/>
    <w:rsid w:val="0022038A"/>
    <w:rsid w:val="002307E6"/>
    <w:rsid w:val="002425D2"/>
    <w:rsid w:val="00242D19"/>
    <w:rsid w:val="0024321E"/>
    <w:rsid w:val="00246DD3"/>
    <w:rsid w:val="00252C62"/>
    <w:rsid w:val="00257A8C"/>
    <w:rsid w:val="00264336"/>
    <w:rsid w:val="0028667C"/>
    <w:rsid w:val="002913AE"/>
    <w:rsid w:val="002A0989"/>
    <w:rsid w:val="002B263E"/>
    <w:rsid w:val="002B4E49"/>
    <w:rsid w:val="002B61BC"/>
    <w:rsid w:val="002B6D48"/>
    <w:rsid w:val="0032467A"/>
    <w:rsid w:val="00336233"/>
    <w:rsid w:val="0035096B"/>
    <w:rsid w:val="00355E2A"/>
    <w:rsid w:val="00364043"/>
    <w:rsid w:val="00364348"/>
    <w:rsid w:val="00377E6F"/>
    <w:rsid w:val="00377ED8"/>
    <w:rsid w:val="0039257B"/>
    <w:rsid w:val="003930A1"/>
    <w:rsid w:val="003A71BD"/>
    <w:rsid w:val="003B0E4F"/>
    <w:rsid w:val="003B3893"/>
    <w:rsid w:val="003B610C"/>
    <w:rsid w:val="003C2D05"/>
    <w:rsid w:val="003D2159"/>
    <w:rsid w:val="003E0BAE"/>
    <w:rsid w:val="003F5407"/>
    <w:rsid w:val="0040148E"/>
    <w:rsid w:val="00403651"/>
    <w:rsid w:val="00415689"/>
    <w:rsid w:val="004200FA"/>
    <w:rsid w:val="0042149B"/>
    <w:rsid w:val="00423251"/>
    <w:rsid w:val="00424C36"/>
    <w:rsid w:val="004431BA"/>
    <w:rsid w:val="0048095E"/>
    <w:rsid w:val="00486E9B"/>
    <w:rsid w:val="00492A81"/>
    <w:rsid w:val="004A11D2"/>
    <w:rsid w:val="004A3253"/>
    <w:rsid w:val="004A3DB3"/>
    <w:rsid w:val="004A4633"/>
    <w:rsid w:val="004A7908"/>
    <w:rsid w:val="004C1692"/>
    <w:rsid w:val="004C1C3F"/>
    <w:rsid w:val="004C4E1A"/>
    <w:rsid w:val="004D1E06"/>
    <w:rsid w:val="004E29CC"/>
    <w:rsid w:val="004E539D"/>
    <w:rsid w:val="005160DF"/>
    <w:rsid w:val="00521A6B"/>
    <w:rsid w:val="00563C7C"/>
    <w:rsid w:val="00581D91"/>
    <w:rsid w:val="0058532D"/>
    <w:rsid w:val="00593644"/>
    <w:rsid w:val="005A260B"/>
    <w:rsid w:val="005C3E93"/>
    <w:rsid w:val="005D6761"/>
    <w:rsid w:val="005E41AE"/>
    <w:rsid w:val="005F1391"/>
    <w:rsid w:val="0061581E"/>
    <w:rsid w:val="006222DF"/>
    <w:rsid w:val="006235E3"/>
    <w:rsid w:val="00626D3F"/>
    <w:rsid w:val="0063458F"/>
    <w:rsid w:val="006435FA"/>
    <w:rsid w:val="00666D02"/>
    <w:rsid w:val="0067117A"/>
    <w:rsid w:val="00672DE5"/>
    <w:rsid w:val="00681974"/>
    <w:rsid w:val="006967E2"/>
    <w:rsid w:val="006974E0"/>
    <w:rsid w:val="006A4E21"/>
    <w:rsid w:val="006B09BA"/>
    <w:rsid w:val="006C4469"/>
    <w:rsid w:val="006D10E9"/>
    <w:rsid w:val="006D471F"/>
    <w:rsid w:val="006F0251"/>
    <w:rsid w:val="006F1753"/>
    <w:rsid w:val="006F3773"/>
    <w:rsid w:val="00704F8D"/>
    <w:rsid w:val="00710D1A"/>
    <w:rsid w:val="00722739"/>
    <w:rsid w:val="007361D6"/>
    <w:rsid w:val="00736D18"/>
    <w:rsid w:val="00737D00"/>
    <w:rsid w:val="0075458E"/>
    <w:rsid w:val="00770CB6"/>
    <w:rsid w:val="00781375"/>
    <w:rsid w:val="007F22DF"/>
    <w:rsid w:val="00811523"/>
    <w:rsid w:val="00823012"/>
    <w:rsid w:val="008232BE"/>
    <w:rsid w:val="0082484B"/>
    <w:rsid w:val="00824B30"/>
    <w:rsid w:val="00827E70"/>
    <w:rsid w:val="0083179E"/>
    <w:rsid w:val="00837EDA"/>
    <w:rsid w:val="008544BA"/>
    <w:rsid w:val="00865558"/>
    <w:rsid w:val="008702AF"/>
    <w:rsid w:val="00870B9B"/>
    <w:rsid w:val="008E24F3"/>
    <w:rsid w:val="0090127F"/>
    <w:rsid w:val="009132B5"/>
    <w:rsid w:val="00934391"/>
    <w:rsid w:val="00942DB5"/>
    <w:rsid w:val="00942ED9"/>
    <w:rsid w:val="0095316B"/>
    <w:rsid w:val="0095465E"/>
    <w:rsid w:val="00963722"/>
    <w:rsid w:val="00964F56"/>
    <w:rsid w:val="00971469"/>
    <w:rsid w:val="00972AB5"/>
    <w:rsid w:val="00987372"/>
    <w:rsid w:val="00995F07"/>
    <w:rsid w:val="00995F33"/>
    <w:rsid w:val="00996704"/>
    <w:rsid w:val="009B63E9"/>
    <w:rsid w:val="009C2F21"/>
    <w:rsid w:val="009D501F"/>
    <w:rsid w:val="009D75C5"/>
    <w:rsid w:val="009E71C4"/>
    <w:rsid w:val="009F7B51"/>
    <w:rsid w:val="00A0655B"/>
    <w:rsid w:val="00A1083C"/>
    <w:rsid w:val="00A440FE"/>
    <w:rsid w:val="00A51DE3"/>
    <w:rsid w:val="00A64EEB"/>
    <w:rsid w:val="00AA105C"/>
    <w:rsid w:val="00AB2E6B"/>
    <w:rsid w:val="00AF1C9D"/>
    <w:rsid w:val="00B1404C"/>
    <w:rsid w:val="00B17348"/>
    <w:rsid w:val="00B23A46"/>
    <w:rsid w:val="00B254CF"/>
    <w:rsid w:val="00B34FE8"/>
    <w:rsid w:val="00B37FAE"/>
    <w:rsid w:val="00B439FB"/>
    <w:rsid w:val="00B45764"/>
    <w:rsid w:val="00B46953"/>
    <w:rsid w:val="00B67D47"/>
    <w:rsid w:val="00B8508E"/>
    <w:rsid w:val="00B87212"/>
    <w:rsid w:val="00B876CA"/>
    <w:rsid w:val="00B90734"/>
    <w:rsid w:val="00BB0707"/>
    <w:rsid w:val="00BC3536"/>
    <w:rsid w:val="00BD34E9"/>
    <w:rsid w:val="00BE329C"/>
    <w:rsid w:val="00BE6D1D"/>
    <w:rsid w:val="00C055B5"/>
    <w:rsid w:val="00C14449"/>
    <w:rsid w:val="00C25485"/>
    <w:rsid w:val="00C64E4C"/>
    <w:rsid w:val="00C968A1"/>
    <w:rsid w:val="00CA0E2B"/>
    <w:rsid w:val="00CA52F2"/>
    <w:rsid w:val="00CA7F05"/>
    <w:rsid w:val="00CC3D9F"/>
    <w:rsid w:val="00CD4E8F"/>
    <w:rsid w:val="00CF6F20"/>
    <w:rsid w:val="00D04297"/>
    <w:rsid w:val="00D06836"/>
    <w:rsid w:val="00D23C49"/>
    <w:rsid w:val="00D25E12"/>
    <w:rsid w:val="00D36B66"/>
    <w:rsid w:val="00D875FC"/>
    <w:rsid w:val="00D90FBD"/>
    <w:rsid w:val="00D915E7"/>
    <w:rsid w:val="00D9449A"/>
    <w:rsid w:val="00DA6AF5"/>
    <w:rsid w:val="00DB79AB"/>
    <w:rsid w:val="00DC1094"/>
    <w:rsid w:val="00DC7CE5"/>
    <w:rsid w:val="00DE3574"/>
    <w:rsid w:val="00DE694F"/>
    <w:rsid w:val="00DF6C64"/>
    <w:rsid w:val="00E007F8"/>
    <w:rsid w:val="00E1154F"/>
    <w:rsid w:val="00E21D03"/>
    <w:rsid w:val="00E27055"/>
    <w:rsid w:val="00E5298D"/>
    <w:rsid w:val="00E6395D"/>
    <w:rsid w:val="00E85DC0"/>
    <w:rsid w:val="00E90522"/>
    <w:rsid w:val="00EB4D71"/>
    <w:rsid w:val="00EB7166"/>
    <w:rsid w:val="00ED46E8"/>
    <w:rsid w:val="00EE123B"/>
    <w:rsid w:val="00EE636A"/>
    <w:rsid w:val="00EF3C1A"/>
    <w:rsid w:val="00EF43E1"/>
    <w:rsid w:val="00F003DE"/>
    <w:rsid w:val="00F05A06"/>
    <w:rsid w:val="00F24F0B"/>
    <w:rsid w:val="00F27D79"/>
    <w:rsid w:val="00F27F36"/>
    <w:rsid w:val="00F46CD5"/>
    <w:rsid w:val="00F513E0"/>
    <w:rsid w:val="00F551A9"/>
    <w:rsid w:val="00F7336E"/>
    <w:rsid w:val="00F77DCB"/>
    <w:rsid w:val="00F824D6"/>
    <w:rsid w:val="00F86348"/>
    <w:rsid w:val="00F919C0"/>
    <w:rsid w:val="00F92567"/>
    <w:rsid w:val="00F9589A"/>
    <w:rsid w:val="00FB7565"/>
    <w:rsid w:val="00FD3AA1"/>
    <w:rsid w:val="00FE2C0C"/>
    <w:rsid w:val="00FE40E0"/>
    <w:rsid w:val="00FE6034"/>
    <w:rsid w:val="00FF05D5"/>
  </w:rsids>
  <m:mathPr>
    <m:mathFont m:val="Cambria Math"/>
    <m:brkBin m:val="before"/>
    <m:brkBinSub m:val="--"/>
    <m:smallFrac m:val="0"/>
    <m:dispDef/>
    <m:lMargin m:val="0"/>
    <m:rMargin m:val="0"/>
    <m:defJc m:val="centerGroup"/>
    <m:wrapIndent m:val="1440"/>
    <m:intLim m:val="subSup"/>
    <m:naryLim m:val="undOvr"/>
  </m:mathPr>
  <w:themeFontLang w:val="sk-SK" w:bidi="s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E61CEC"/>
  <w15:docId w15:val="{7970B6A0-F0EE-4B6B-90E5-8C9F7DAF1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sa-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F1C9D"/>
    <w:rPr>
      <w:rFonts w:ascii="Arial" w:hAnsi="Arial"/>
      <w:bCs/>
      <w:sz w:val="24"/>
      <w:szCs w:val="24"/>
      <w:lang w:eastAsia="cs-CZ" w:bidi="ar-SA"/>
    </w:rPr>
  </w:style>
  <w:style w:type="paragraph" w:styleId="Nadpis1">
    <w:name w:val="heading 1"/>
    <w:basedOn w:val="Normlny"/>
    <w:next w:val="Normlny"/>
    <w:qFormat/>
    <w:rsid w:val="00AF1C9D"/>
    <w:pPr>
      <w:keepNext/>
      <w:jc w:val="both"/>
      <w:outlineLvl w:val="0"/>
    </w:pPr>
    <w:rPr>
      <w:rFonts w:cs="Arial"/>
      <w:b/>
      <w:lang w:val="cs-CZ"/>
    </w:rPr>
  </w:style>
  <w:style w:type="paragraph" w:styleId="Nadpis4">
    <w:name w:val="heading 4"/>
    <w:basedOn w:val="Normlny"/>
    <w:next w:val="Normlny"/>
    <w:link w:val="Nadpis4Char"/>
    <w:qFormat/>
    <w:rsid w:val="00AF1C9D"/>
    <w:pPr>
      <w:keepNext/>
      <w:overflowPunct w:val="0"/>
      <w:autoSpaceDE w:val="0"/>
      <w:autoSpaceDN w:val="0"/>
      <w:adjustRightInd w:val="0"/>
      <w:jc w:val="both"/>
      <w:textAlignment w:val="baseline"/>
      <w:outlineLvl w:val="3"/>
    </w:pPr>
    <w:rPr>
      <w:rFonts w:ascii="Times New Roman" w:hAnsi="Times New Roman"/>
      <w:b/>
      <w:bCs w:val="0"/>
      <w:szCs w:val="20"/>
    </w:rPr>
  </w:style>
  <w:style w:type="paragraph" w:styleId="Nadpis5">
    <w:name w:val="heading 5"/>
    <w:basedOn w:val="Normlny"/>
    <w:next w:val="Normlny"/>
    <w:link w:val="Nadpis5Char"/>
    <w:uiPriority w:val="9"/>
    <w:semiHidden/>
    <w:unhideWhenUsed/>
    <w:qFormat/>
    <w:rsid w:val="003E0BAE"/>
    <w:pPr>
      <w:keepNext/>
      <w:keepLines/>
      <w:spacing w:before="200"/>
      <w:outlineLvl w:val="4"/>
    </w:pPr>
    <w:rPr>
      <w:rFonts w:asciiTheme="majorHAnsi" w:eastAsiaTheme="majorEastAsia" w:hAnsiTheme="majorHAnsi" w:cstheme="majorBidi"/>
      <w:color w:val="243F60" w:themeColor="accent1" w:themeShade="7F"/>
    </w:rPr>
  </w:style>
  <w:style w:type="paragraph" w:styleId="Nadpis8">
    <w:name w:val="heading 8"/>
    <w:basedOn w:val="Normlny"/>
    <w:next w:val="Normlny"/>
    <w:qFormat/>
    <w:rsid w:val="00AF1C9D"/>
    <w:pPr>
      <w:keepNext/>
      <w:overflowPunct w:val="0"/>
      <w:autoSpaceDE w:val="0"/>
      <w:autoSpaceDN w:val="0"/>
      <w:adjustRightInd w:val="0"/>
      <w:jc w:val="both"/>
      <w:textAlignment w:val="baseline"/>
      <w:outlineLvl w:val="7"/>
    </w:pPr>
    <w:rPr>
      <w:rFonts w:cs="Arial"/>
      <w:b/>
      <w:bCs w:val="0"/>
      <w:smallCaps/>
      <w:sz w:val="22"/>
      <w:szCs w:val="20"/>
      <w:lang w:val="en-G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Zkladntext21">
    <w:name w:val="Základní text 21"/>
    <w:basedOn w:val="Normlny"/>
    <w:rsid w:val="00AF1C9D"/>
    <w:rPr>
      <w:rFonts w:ascii="Compacta AT" w:hAnsi="Compacta AT"/>
      <w:bCs w:val="0"/>
      <w:sz w:val="92"/>
      <w:szCs w:val="20"/>
    </w:rPr>
  </w:style>
  <w:style w:type="paragraph" w:styleId="Popis">
    <w:name w:val="caption"/>
    <w:basedOn w:val="Normlny"/>
    <w:next w:val="Normlny"/>
    <w:qFormat/>
    <w:rsid w:val="00AF1C9D"/>
    <w:pPr>
      <w:ind w:right="567"/>
      <w:jc w:val="both"/>
    </w:pPr>
    <w:rPr>
      <w:rFonts w:cs="Arial"/>
      <w:b/>
      <w:lang w:val="cs-CZ"/>
    </w:rPr>
  </w:style>
  <w:style w:type="paragraph" w:styleId="Zarkazkladnhotextu">
    <w:name w:val="Body Text Indent"/>
    <w:basedOn w:val="Normlny"/>
    <w:semiHidden/>
    <w:rsid w:val="00AF1C9D"/>
    <w:rPr>
      <w:rFonts w:ascii="Compacta AT" w:hAnsi="Compacta AT"/>
      <w:bCs w:val="0"/>
      <w:snapToGrid w:val="0"/>
      <w:sz w:val="92"/>
      <w:szCs w:val="20"/>
    </w:rPr>
  </w:style>
  <w:style w:type="paragraph" w:styleId="Zarkazkladnhotextu2">
    <w:name w:val="Body Text Indent 2"/>
    <w:basedOn w:val="Normlny"/>
    <w:semiHidden/>
    <w:rsid w:val="00AF1C9D"/>
    <w:pPr>
      <w:ind w:firstLine="708"/>
      <w:jc w:val="both"/>
    </w:pPr>
    <w:rPr>
      <w:rFonts w:ascii="Times New Roman" w:hAnsi="Times New Roman"/>
      <w:bCs w:val="0"/>
      <w:szCs w:val="20"/>
      <w:lang w:val="en-GB"/>
    </w:rPr>
  </w:style>
  <w:style w:type="paragraph" w:styleId="Zkladntext">
    <w:name w:val="Body Text"/>
    <w:basedOn w:val="Normlny"/>
    <w:semiHidden/>
    <w:rsid w:val="00AF1C9D"/>
    <w:pPr>
      <w:jc w:val="both"/>
    </w:pPr>
    <w:rPr>
      <w:rFonts w:cs="Arial"/>
      <w:bCs w:val="0"/>
      <w:sz w:val="22"/>
      <w:lang w:val="cs-CZ"/>
    </w:rPr>
  </w:style>
  <w:style w:type="paragraph" w:styleId="Zkladntext2">
    <w:name w:val="Body Text 2"/>
    <w:basedOn w:val="Normlny"/>
    <w:semiHidden/>
    <w:rsid w:val="00AF1C9D"/>
    <w:pPr>
      <w:spacing w:after="100"/>
      <w:ind w:right="567"/>
      <w:jc w:val="both"/>
    </w:pPr>
    <w:rPr>
      <w:rFonts w:cs="Arial"/>
      <w:sz w:val="22"/>
    </w:rPr>
  </w:style>
  <w:style w:type="character" w:styleId="Hypertextovprepojenie">
    <w:name w:val="Hyperlink"/>
    <w:basedOn w:val="Predvolenpsmoodseku"/>
    <w:semiHidden/>
    <w:rsid w:val="00AF1C9D"/>
    <w:rPr>
      <w:color w:val="0000FF"/>
      <w:u w:val="single"/>
    </w:rPr>
  </w:style>
  <w:style w:type="paragraph" w:styleId="Textvysvetlivky">
    <w:name w:val="endnote text"/>
    <w:basedOn w:val="Normlny"/>
    <w:semiHidden/>
    <w:rsid w:val="00AF1C9D"/>
    <w:rPr>
      <w:rFonts w:ascii="Tms Rmn" w:hAnsi="Tms Rmn"/>
      <w:bCs w:val="0"/>
      <w:sz w:val="20"/>
      <w:szCs w:val="20"/>
      <w:lang w:val="en-US"/>
    </w:rPr>
  </w:style>
  <w:style w:type="paragraph" w:styleId="Zkladntext3">
    <w:name w:val="Body Text 3"/>
    <w:basedOn w:val="Normlny"/>
    <w:semiHidden/>
    <w:rsid w:val="00AF1C9D"/>
    <w:pPr>
      <w:jc w:val="both"/>
    </w:pPr>
    <w:rPr>
      <w:rFonts w:cs="Arial"/>
      <w:sz w:val="20"/>
    </w:rPr>
  </w:style>
  <w:style w:type="character" w:customStyle="1" w:styleId="Nadpis5Char">
    <w:name w:val="Nadpis 5 Char"/>
    <w:basedOn w:val="Predvolenpsmoodseku"/>
    <w:link w:val="Nadpis5"/>
    <w:uiPriority w:val="9"/>
    <w:semiHidden/>
    <w:rsid w:val="003E0BAE"/>
    <w:rPr>
      <w:rFonts w:asciiTheme="majorHAnsi" w:eastAsiaTheme="majorEastAsia" w:hAnsiTheme="majorHAnsi" w:cstheme="majorBidi"/>
      <w:bCs/>
      <w:color w:val="243F60" w:themeColor="accent1" w:themeShade="7F"/>
      <w:sz w:val="24"/>
      <w:szCs w:val="24"/>
      <w:lang w:eastAsia="cs-CZ" w:bidi="ar-SA"/>
    </w:rPr>
  </w:style>
  <w:style w:type="character" w:customStyle="1" w:styleId="Nadpis4Char">
    <w:name w:val="Nadpis 4 Char"/>
    <w:basedOn w:val="Predvolenpsmoodseku"/>
    <w:link w:val="Nadpis4"/>
    <w:rsid w:val="00BB0707"/>
    <w:rPr>
      <w:b/>
      <w:sz w:val="24"/>
      <w:lang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atistics.sk" TargetMode="External"/><Relationship Id="rId3" Type="http://schemas.openxmlformats.org/officeDocument/2006/relationships/styles" Target="styles.xml"/><Relationship Id="rId7" Type="http://schemas.openxmlformats.org/officeDocument/2006/relationships/hyperlink" Target="http://www.statistics.s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tatistics.sk"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7896F-03FD-4CFB-813F-EA28DC607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1413</Words>
  <Characters>8060</Characters>
  <Application>Microsoft Office Word</Application>
  <DocSecurity>0</DocSecurity>
  <Lines>67</Lines>
  <Paragraphs>18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Štatistický úrad Slovenskej republiky</vt:lpstr>
      <vt:lpstr>Štatistický úrad Slovenskej republiky</vt:lpstr>
    </vt:vector>
  </TitlesOfParts>
  <Company>Štatistický úrad SR</Company>
  <LinksUpToDate>false</LinksUpToDate>
  <CharactersWithSpaces>9455</CharactersWithSpaces>
  <SharedDoc>false</SharedDoc>
  <HLinks>
    <vt:vector size="6" baseType="variant">
      <vt:variant>
        <vt:i4>131146</vt:i4>
      </vt:variant>
      <vt:variant>
        <vt:i4>0</vt:i4>
      </vt:variant>
      <vt:variant>
        <vt:i4>0</vt:i4>
      </vt:variant>
      <vt:variant>
        <vt:i4>5</vt:i4>
      </vt:variant>
      <vt:variant>
        <vt:lpwstr>http://www.statistics.sk/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Štatistický úrad Slovenskej republiky</dc:title>
  <dc:creator>******</dc:creator>
  <cp:lastModifiedBy>Kronome Katarína</cp:lastModifiedBy>
  <cp:revision>2</cp:revision>
  <cp:lastPrinted>2018-02-26T11:57:00Z</cp:lastPrinted>
  <dcterms:created xsi:type="dcterms:W3CDTF">2021-01-26T13:07:00Z</dcterms:created>
  <dcterms:modified xsi:type="dcterms:W3CDTF">2021-01-26T13:07:00Z</dcterms:modified>
</cp:coreProperties>
</file>