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493"/>
        <w:gridCol w:w="8760"/>
        <w:gridCol w:w="1179"/>
      </w:tblGrid>
      <w:tr w:rsidR="00764FFF">
        <w:trPr>
          <w:trHeight w:val="297"/>
        </w:trPr>
        <w:tc>
          <w:tcPr>
            <w:tcW w:w="10432" w:type="dxa"/>
            <w:gridSpan w:val="3"/>
          </w:tcPr>
          <w:p w:rsidR="00764FFF" w:rsidRDefault="00CF6955">
            <w:pPr>
              <w:pStyle w:val="TableParagraph"/>
              <w:spacing w:line="278" w:lineRule="exact"/>
              <w:ind w:left="204"/>
              <w:rPr>
                <w:b/>
                <w:sz w:val="25"/>
              </w:rPr>
            </w:pPr>
            <w:bookmarkStart w:id="0" w:name="obsah_tlac_formatovane"/>
            <w:bookmarkEnd w:id="0"/>
            <w:r>
              <w:rPr>
                <w:b/>
                <w:sz w:val="25"/>
              </w:rPr>
              <w:t>O B S A H</w:t>
            </w:r>
          </w:p>
        </w:tc>
      </w:tr>
      <w:tr w:rsidR="00764FFF">
        <w:trPr>
          <w:trHeight w:val="311"/>
        </w:trPr>
        <w:tc>
          <w:tcPr>
            <w:tcW w:w="10432" w:type="dxa"/>
            <w:gridSpan w:val="3"/>
          </w:tcPr>
          <w:p w:rsidR="00764FFF" w:rsidRDefault="00CF6955">
            <w:pPr>
              <w:pStyle w:val="TableParagraph"/>
              <w:spacing w:before="10" w:line="282" w:lineRule="exact"/>
              <w:ind w:left="204"/>
              <w:rPr>
                <w:sz w:val="25"/>
              </w:rPr>
            </w:pPr>
            <w:r>
              <w:rPr>
                <w:sz w:val="25"/>
              </w:rPr>
              <w:t>C O N T E N T S</w:t>
            </w:r>
          </w:p>
        </w:tc>
      </w:tr>
      <w:tr w:rsidR="00764FFF">
        <w:trPr>
          <w:trHeight w:val="255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9" w:type="dxa"/>
          </w:tcPr>
          <w:p w:rsidR="00764FFF" w:rsidRDefault="00CF6955">
            <w:pPr>
              <w:pStyle w:val="TableParagraph"/>
              <w:spacing w:before="6" w:line="229" w:lineRule="exact"/>
              <w:ind w:left="338" w:right="1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Strana</w:t>
            </w:r>
          </w:p>
        </w:tc>
      </w:tr>
      <w:tr w:rsidR="00764FFF">
        <w:trPr>
          <w:trHeight w:val="399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9" w:type="dxa"/>
          </w:tcPr>
          <w:p w:rsidR="00764FFF" w:rsidRDefault="00CF6955">
            <w:pPr>
              <w:pStyle w:val="TableParagraph"/>
              <w:spacing w:before="12"/>
              <w:ind w:left="335" w:right="17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Page</w:t>
            </w:r>
            <w:proofErr w:type="spellEnd"/>
          </w:p>
        </w:tc>
      </w:tr>
      <w:tr w:rsidR="00764FFF">
        <w:trPr>
          <w:trHeight w:val="390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>
            <w:pPr>
              <w:pStyle w:val="TableParagraph"/>
              <w:spacing w:before="152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>Metodické vysvetlivky</w:t>
            </w:r>
          </w:p>
        </w:tc>
        <w:tc>
          <w:tcPr>
            <w:tcW w:w="1179" w:type="dxa"/>
          </w:tcPr>
          <w:p w:rsidR="00764FFF" w:rsidRDefault="00CF6955">
            <w:pPr>
              <w:pStyle w:val="TableParagraph"/>
              <w:spacing w:before="154"/>
              <w:ind w:left="15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</w:tr>
      <w:tr w:rsidR="00764FFF">
        <w:trPr>
          <w:trHeight w:val="380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>
            <w:pPr>
              <w:pStyle w:val="TableParagraph"/>
              <w:spacing w:before="23"/>
              <w:ind w:left="136"/>
              <w:rPr>
                <w:sz w:val="18"/>
              </w:rPr>
            </w:pPr>
            <w:proofErr w:type="spellStart"/>
            <w:r>
              <w:rPr>
                <w:sz w:val="18"/>
              </w:rPr>
              <w:t>Methodological</w:t>
            </w:r>
            <w:proofErr w:type="spellEnd"/>
            <w:r>
              <w:rPr>
                <w:sz w:val="18"/>
              </w:rPr>
              <w:t xml:space="preserve"> notes</w:t>
            </w:r>
          </w:p>
        </w:tc>
        <w:tc>
          <w:tcPr>
            <w:tcW w:w="117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4FFF">
        <w:trPr>
          <w:trHeight w:val="426"/>
        </w:trPr>
        <w:tc>
          <w:tcPr>
            <w:tcW w:w="493" w:type="dxa"/>
          </w:tcPr>
          <w:p w:rsidR="00764FFF" w:rsidRDefault="00CF6955">
            <w:pPr>
              <w:pStyle w:val="TableParagraph"/>
              <w:spacing w:before="148" w:line="258" w:lineRule="exact"/>
              <w:ind w:left="200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I.</w:t>
            </w:r>
          </w:p>
        </w:tc>
        <w:tc>
          <w:tcPr>
            <w:tcW w:w="8760" w:type="dxa"/>
          </w:tcPr>
          <w:p w:rsidR="00764FFF" w:rsidRDefault="00CF6955">
            <w:pPr>
              <w:pStyle w:val="TableParagraph"/>
              <w:spacing w:before="147" w:line="259" w:lineRule="exact"/>
              <w:ind w:left="143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Výsledky spracovania štvrťročných výkazov </w:t>
            </w:r>
            <w:proofErr w:type="spellStart"/>
            <w:r>
              <w:rPr>
                <w:b/>
                <w:sz w:val="23"/>
              </w:rPr>
              <w:t>Prod</w:t>
            </w:r>
            <w:proofErr w:type="spellEnd"/>
            <w:r>
              <w:rPr>
                <w:b/>
                <w:sz w:val="23"/>
              </w:rPr>
              <w:t xml:space="preserve"> 3-04</w:t>
            </w:r>
          </w:p>
        </w:tc>
        <w:tc>
          <w:tcPr>
            <w:tcW w:w="117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4FFF">
        <w:trPr>
          <w:trHeight w:val="428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>
            <w:pPr>
              <w:pStyle w:val="TableParagraph"/>
              <w:spacing w:before="9"/>
              <w:ind w:left="143"/>
              <w:rPr>
                <w:sz w:val="23"/>
              </w:rPr>
            </w:pPr>
            <w:proofErr w:type="spellStart"/>
            <w:r>
              <w:rPr>
                <w:sz w:val="23"/>
              </w:rPr>
              <w:t>Results</w:t>
            </w:r>
            <w:proofErr w:type="spellEnd"/>
            <w:r>
              <w:rPr>
                <w:sz w:val="23"/>
              </w:rPr>
              <w:t xml:space="preserve"> of </w:t>
            </w:r>
            <w:proofErr w:type="spellStart"/>
            <w:r>
              <w:rPr>
                <w:sz w:val="23"/>
              </w:rPr>
              <w:t>processing</w:t>
            </w:r>
            <w:proofErr w:type="spellEnd"/>
            <w:r>
              <w:rPr>
                <w:sz w:val="23"/>
              </w:rPr>
              <w:t xml:space="preserve"> of </w:t>
            </w:r>
            <w:proofErr w:type="spellStart"/>
            <w:r>
              <w:rPr>
                <w:sz w:val="23"/>
              </w:rPr>
              <w:t>quarterly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returns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Prod</w:t>
            </w:r>
            <w:proofErr w:type="spellEnd"/>
            <w:r>
              <w:rPr>
                <w:sz w:val="23"/>
              </w:rPr>
              <w:t xml:space="preserve"> 3-04</w:t>
            </w:r>
          </w:p>
        </w:tc>
        <w:tc>
          <w:tcPr>
            <w:tcW w:w="117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4FFF">
        <w:trPr>
          <w:trHeight w:val="386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148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Finančné ukazovatele za </w:t>
            </w:r>
            <w:r w:rsidR="00E03A4A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 štvrťrok 2023 podľa SK NACE</w:t>
            </w:r>
          </w:p>
        </w:tc>
        <w:tc>
          <w:tcPr>
            <w:tcW w:w="1179" w:type="dxa"/>
          </w:tcPr>
          <w:p w:rsidR="00764FFF" w:rsidRDefault="00CF6955">
            <w:pPr>
              <w:pStyle w:val="TableParagraph"/>
              <w:spacing w:before="150"/>
              <w:ind w:left="15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</w:tr>
      <w:tr w:rsidR="00764FFF">
        <w:trPr>
          <w:trHeight w:val="381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23"/>
              <w:ind w:left="136"/>
              <w:rPr>
                <w:sz w:val="18"/>
              </w:rPr>
            </w:pPr>
            <w:proofErr w:type="spellStart"/>
            <w:r>
              <w:rPr>
                <w:sz w:val="18"/>
              </w:rPr>
              <w:t>Financial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indicators</w:t>
            </w:r>
            <w:proofErr w:type="spellEnd"/>
            <w:r>
              <w:rPr>
                <w:sz w:val="18"/>
              </w:rPr>
              <w:t xml:space="preserve"> in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r w:rsidR="00E03A4A">
              <w:rPr>
                <w:sz w:val="18"/>
              </w:rPr>
              <w:t>4th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quarter</w:t>
            </w:r>
            <w:proofErr w:type="spellEnd"/>
            <w:r>
              <w:rPr>
                <w:sz w:val="18"/>
              </w:rPr>
              <w:t xml:space="preserve"> of 2023 by SK NACE</w:t>
            </w:r>
          </w:p>
        </w:tc>
        <w:tc>
          <w:tcPr>
            <w:tcW w:w="117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4FFF">
        <w:trPr>
          <w:trHeight w:val="590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122" w:line="230" w:lineRule="atLeast"/>
              <w:ind w:left="136" w:right="555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Finančné ukazovatele za </w:t>
            </w:r>
            <w:r w:rsidR="00E03A4A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 štvrťrok 2023 podľa špeciálnych zoskupení priemyselných odvetví (SK NACE)</w:t>
            </w:r>
          </w:p>
        </w:tc>
        <w:tc>
          <w:tcPr>
            <w:tcW w:w="1179" w:type="dxa"/>
          </w:tcPr>
          <w:p w:rsidR="00764FFF" w:rsidRDefault="00CF6955">
            <w:pPr>
              <w:pStyle w:val="TableParagraph"/>
              <w:spacing w:before="152"/>
              <w:ind w:left="15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</w:tr>
      <w:tr w:rsidR="00764FFF">
        <w:trPr>
          <w:trHeight w:val="580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1" w:line="259" w:lineRule="auto"/>
              <w:ind w:left="136" w:right="555"/>
              <w:rPr>
                <w:sz w:val="18"/>
              </w:rPr>
            </w:pPr>
            <w:proofErr w:type="spellStart"/>
            <w:r>
              <w:rPr>
                <w:sz w:val="18"/>
              </w:rPr>
              <w:t>Financial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indicators</w:t>
            </w:r>
            <w:proofErr w:type="spellEnd"/>
            <w:r>
              <w:rPr>
                <w:sz w:val="18"/>
              </w:rPr>
              <w:t xml:space="preserve"> in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r w:rsidR="00E03A4A">
              <w:rPr>
                <w:sz w:val="18"/>
              </w:rPr>
              <w:t>4th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quarter</w:t>
            </w:r>
            <w:proofErr w:type="spellEnd"/>
            <w:r>
              <w:rPr>
                <w:sz w:val="18"/>
              </w:rPr>
              <w:t xml:space="preserve"> of 2023 </w:t>
            </w:r>
            <w:proofErr w:type="spellStart"/>
            <w:r>
              <w:rPr>
                <w:sz w:val="18"/>
              </w:rPr>
              <w:t>dividing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into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special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aggregates</w:t>
            </w:r>
            <w:proofErr w:type="spellEnd"/>
            <w:r>
              <w:rPr>
                <w:sz w:val="18"/>
              </w:rPr>
              <w:t xml:space="preserve"> of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industrial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branches</w:t>
            </w:r>
            <w:proofErr w:type="spellEnd"/>
            <w:r>
              <w:rPr>
                <w:sz w:val="18"/>
              </w:rPr>
              <w:t xml:space="preserve"> (SK NACE)</w:t>
            </w:r>
          </w:p>
        </w:tc>
        <w:tc>
          <w:tcPr>
            <w:tcW w:w="117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4FFF">
        <w:trPr>
          <w:trHeight w:val="381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143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Finančné ukazovatele za </w:t>
            </w:r>
            <w:r w:rsidR="00E03A4A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 štvrťrok 2023 podľa hlavných priemyselných zoskupení</w:t>
            </w:r>
          </w:p>
        </w:tc>
        <w:tc>
          <w:tcPr>
            <w:tcW w:w="1179" w:type="dxa"/>
          </w:tcPr>
          <w:p w:rsidR="00764FFF" w:rsidRDefault="00CF6955">
            <w:pPr>
              <w:pStyle w:val="TableParagraph"/>
              <w:spacing w:before="145"/>
              <w:ind w:left="15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</w:tr>
      <w:tr w:rsidR="00764FFF">
        <w:trPr>
          <w:trHeight w:val="391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23"/>
              <w:ind w:left="136"/>
              <w:rPr>
                <w:sz w:val="18"/>
              </w:rPr>
            </w:pPr>
            <w:proofErr w:type="spellStart"/>
            <w:r>
              <w:rPr>
                <w:sz w:val="18"/>
              </w:rPr>
              <w:t>Financial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indicators</w:t>
            </w:r>
            <w:proofErr w:type="spellEnd"/>
            <w:r>
              <w:rPr>
                <w:sz w:val="18"/>
              </w:rPr>
              <w:t xml:space="preserve"> in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r w:rsidR="00E03A4A">
              <w:rPr>
                <w:sz w:val="18"/>
              </w:rPr>
              <w:t>4th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quarter</w:t>
            </w:r>
            <w:proofErr w:type="spellEnd"/>
            <w:r>
              <w:rPr>
                <w:sz w:val="18"/>
              </w:rPr>
              <w:t xml:space="preserve"> of 2023 by </w:t>
            </w:r>
            <w:proofErr w:type="spellStart"/>
            <w:r>
              <w:rPr>
                <w:sz w:val="18"/>
              </w:rPr>
              <w:t>Main</w:t>
            </w:r>
            <w:proofErr w:type="spellEnd"/>
            <w:r>
              <w:rPr>
                <w:sz w:val="18"/>
              </w:rPr>
              <w:t xml:space="preserve"> Industrial </w:t>
            </w:r>
            <w:proofErr w:type="spellStart"/>
            <w:r>
              <w:rPr>
                <w:sz w:val="18"/>
              </w:rPr>
              <w:t>Groupings</w:t>
            </w:r>
            <w:proofErr w:type="spellEnd"/>
          </w:p>
        </w:tc>
        <w:tc>
          <w:tcPr>
            <w:tcW w:w="117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4FFF">
        <w:trPr>
          <w:trHeight w:val="385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155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Dlhodobý nehmotný a hmotný majetok a oprávky za </w:t>
            </w:r>
            <w:r w:rsidR="00E03A4A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 štvrťrok 2023 podľa SK NACE</w:t>
            </w:r>
          </w:p>
        </w:tc>
        <w:tc>
          <w:tcPr>
            <w:tcW w:w="1179" w:type="dxa"/>
          </w:tcPr>
          <w:p w:rsidR="00764FFF" w:rsidRDefault="00CF6955">
            <w:pPr>
              <w:pStyle w:val="TableParagraph"/>
              <w:spacing w:before="157"/>
              <w:ind w:left="337" w:right="1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0</w:t>
            </w:r>
          </w:p>
        </w:tc>
      </w:tr>
      <w:tr w:rsidR="00764FFF">
        <w:trPr>
          <w:trHeight w:val="584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14" w:line="259" w:lineRule="auto"/>
              <w:ind w:left="136" w:right="555"/>
              <w:rPr>
                <w:sz w:val="18"/>
              </w:rPr>
            </w:pPr>
            <w:proofErr w:type="spellStart"/>
            <w:r>
              <w:rPr>
                <w:sz w:val="18"/>
              </w:rPr>
              <w:t>Intangible</w:t>
            </w:r>
            <w:proofErr w:type="spellEnd"/>
            <w:r>
              <w:rPr>
                <w:sz w:val="18"/>
              </w:rPr>
              <w:t xml:space="preserve"> and </w:t>
            </w:r>
            <w:proofErr w:type="spellStart"/>
            <w:r>
              <w:rPr>
                <w:sz w:val="18"/>
              </w:rPr>
              <w:t>tangible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fixed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assets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depreciable</w:t>
            </w:r>
            <w:proofErr w:type="spellEnd"/>
            <w:r>
              <w:rPr>
                <w:sz w:val="18"/>
              </w:rPr>
              <w:t xml:space="preserve"> and </w:t>
            </w:r>
            <w:proofErr w:type="spellStart"/>
            <w:r>
              <w:rPr>
                <w:sz w:val="18"/>
              </w:rPr>
              <w:t>accumulated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depreciation</w:t>
            </w:r>
            <w:proofErr w:type="spellEnd"/>
            <w:r>
              <w:rPr>
                <w:sz w:val="18"/>
              </w:rPr>
              <w:t xml:space="preserve"> of </w:t>
            </w:r>
            <w:proofErr w:type="spellStart"/>
            <w:r>
              <w:rPr>
                <w:sz w:val="18"/>
              </w:rPr>
              <w:t>intangible</w:t>
            </w:r>
            <w:proofErr w:type="spellEnd"/>
            <w:r>
              <w:rPr>
                <w:sz w:val="18"/>
              </w:rPr>
              <w:t xml:space="preserve"> </w:t>
            </w:r>
            <w:r w:rsidR="00770507">
              <w:rPr>
                <w:sz w:val="18"/>
              </w:rPr>
              <w:t xml:space="preserve">                 </w:t>
            </w:r>
            <w:r>
              <w:rPr>
                <w:sz w:val="18"/>
              </w:rPr>
              <w:t xml:space="preserve">and </w:t>
            </w:r>
            <w:proofErr w:type="spellStart"/>
            <w:r>
              <w:rPr>
                <w:sz w:val="18"/>
              </w:rPr>
              <w:t>tangible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fixed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assets</w:t>
            </w:r>
            <w:proofErr w:type="spellEnd"/>
            <w:r>
              <w:rPr>
                <w:sz w:val="18"/>
              </w:rPr>
              <w:t xml:space="preserve"> in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r w:rsidR="00E03A4A">
              <w:rPr>
                <w:sz w:val="18"/>
              </w:rPr>
              <w:t>4th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quarter</w:t>
            </w:r>
            <w:proofErr w:type="spellEnd"/>
            <w:r>
              <w:rPr>
                <w:sz w:val="18"/>
              </w:rPr>
              <w:t xml:space="preserve"> of 2023 by SK NACE</w:t>
            </w:r>
          </w:p>
        </w:tc>
        <w:tc>
          <w:tcPr>
            <w:tcW w:w="117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4FFF">
        <w:trPr>
          <w:trHeight w:val="577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110" w:line="230" w:lineRule="atLeast"/>
              <w:ind w:left="136" w:right="555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Dlhodobý nehmotný a hmotný majetok a oprávky za </w:t>
            </w:r>
            <w:r w:rsidR="00E03A4A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 štvrťrok 2023 podľa špeciálnych zoskupení prie</w:t>
            </w:r>
            <w:r>
              <w:rPr>
                <w:b/>
                <w:sz w:val="18"/>
              </w:rPr>
              <w:t>myselných odvetví (SK NACE)</w:t>
            </w:r>
          </w:p>
        </w:tc>
        <w:tc>
          <w:tcPr>
            <w:tcW w:w="1179" w:type="dxa"/>
          </w:tcPr>
          <w:p w:rsidR="00764FFF" w:rsidRDefault="00CF6955">
            <w:pPr>
              <w:pStyle w:val="TableParagraph"/>
              <w:spacing w:before="140"/>
              <w:ind w:left="337" w:right="1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1</w:t>
            </w:r>
          </w:p>
        </w:tc>
      </w:tr>
      <w:tr w:rsidR="00764FFF">
        <w:trPr>
          <w:trHeight w:val="793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line="259" w:lineRule="auto"/>
              <w:ind w:left="136" w:right="555"/>
              <w:rPr>
                <w:sz w:val="18"/>
              </w:rPr>
            </w:pPr>
            <w:proofErr w:type="spellStart"/>
            <w:r>
              <w:rPr>
                <w:sz w:val="18"/>
              </w:rPr>
              <w:t>Intangible</w:t>
            </w:r>
            <w:proofErr w:type="spellEnd"/>
            <w:r>
              <w:rPr>
                <w:sz w:val="18"/>
              </w:rPr>
              <w:t xml:space="preserve"> and </w:t>
            </w:r>
            <w:proofErr w:type="spellStart"/>
            <w:r>
              <w:rPr>
                <w:sz w:val="18"/>
              </w:rPr>
              <w:t>tangible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fixed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assets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depreciable</w:t>
            </w:r>
            <w:proofErr w:type="spellEnd"/>
            <w:r>
              <w:rPr>
                <w:sz w:val="18"/>
              </w:rPr>
              <w:t xml:space="preserve"> and </w:t>
            </w:r>
            <w:proofErr w:type="spellStart"/>
            <w:r>
              <w:rPr>
                <w:sz w:val="18"/>
              </w:rPr>
              <w:t>accumulated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depreciation</w:t>
            </w:r>
            <w:proofErr w:type="spellEnd"/>
            <w:r>
              <w:rPr>
                <w:sz w:val="18"/>
              </w:rPr>
              <w:t xml:space="preserve"> of </w:t>
            </w:r>
            <w:proofErr w:type="spellStart"/>
            <w:r>
              <w:rPr>
                <w:sz w:val="18"/>
              </w:rPr>
              <w:t>intangible</w:t>
            </w:r>
            <w:proofErr w:type="spellEnd"/>
            <w:r>
              <w:rPr>
                <w:sz w:val="18"/>
              </w:rPr>
              <w:t xml:space="preserve"> </w:t>
            </w:r>
            <w:r w:rsidR="00770507">
              <w:rPr>
                <w:sz w:val="18"/>
              </w:rPr>
              <w:t xml:space="preserve">                   </w:t>
            </w:r>
            <w:r>
              <w:rPr>
                <w:sz w:val="18"/>
              </w:rPr>
              <w:t xml:space="preserve">and </w:t>
            </w:r>
            <w:proofErr w:type="spellStart"/>
            <w:r>
              <w:rPr>
                <w:sz w:val="18"/>
              </w:rPr>
              <w:t>tangible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fixed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assets</w:t>
            </w:r>
            <w:proofErr w:type="spellEnd"/>
            <w:r>
              <w:rPr>
                <w:sz w:val="18"/>
              </w:rPr>
              <w:t xml:space="preserve"> in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r w:rsidR="00E03A4A">
              <w:rPr>
                <w:sz w:val="18"/>
              </w:rPr>
              <w:t>4th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quarter</w:t>
            </w:r>
            <w:proofErr w:type="spellEnd"/>
            <w:r>
              <w:rPr>
                <w:sz w:val="18"/>
              </w:rPr>
              <w:t xml:space="preserve"> of 2023 by </w:t>
            </w:r>
            <w:proofErr w:type="spellStart"/>
            <w:r>
              <w:rPr>
                <w:sz w:val="18"/>
              </w:rPr>
              <w:t>dividing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into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special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aggregates</w:t>
            </w:r>
            <w:proofErr w:type="spellEnd"/>
            <w:r>
              <w:rPr>
                <w:sz w:val="18"/>
              </w:rPr>
              <w:t xml:space="preserve"> of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industrial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branches</w:t>
            </w:r>
            <w:proofErr w:type="spellEnd"/>
            <w:r>
              <w:rPr>
                <w:sz w:val="18"/>
              </w:rPr>
              <w:t xml:space="preserve"> (SK NACE)</w:t>
            </w:r>
          </w:p>
        </w:tc>
        <w:tc>
          <w:tcPr>
            <w:tcW w:w="117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4FFF">
        <w:trPr>
          <w:trHeight w:val="578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110" w:line="230" w:lineRule="atLeast"/>
              <w:ind w:left="136" w:right="555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Dlhodobý nehmotný a hmotný majetok a oprávky za </w:t>
            </w:r>
            <w:r w:rsidR="00E03A4A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 štvrťrok 2023 podľa hlavných priemyselných zoskupení</w:t>
            </w:r>
          </w:p>
        </w:tc>
        <w:tc>
          <w:tcPr>
            <w:tcW w:w="1179" w:type="dxa"/>
          </w:tcPr>
          <w:p w:rsidR="00764FFF" w:rsidRDefault="00CF6955">
            <w:pPr>
              <w:pStyle w:val="TableParagraph"/>
              <w:spacing w:before="140"/>
              <w:ind w:left="337" w:right="1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2</w:t>
            </w:r>
          </w:p>
        </w:tc>
      </w:tr>
      <w:tr w:rsidR="00764FFF">
        <w:trPr>
          <w:trHeight w:val="580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1" w:line="259" w:lineRule="auto"/>
              <w:ind w:left="136" w:right="555"/>
              <w:rPr>
                <w:sz w:val="18"/>
              </w:rPr>
            </w:pPr>
            <w:proofErr w:type="spellStart"/>
            <w:r>
              <w:rPr>
                <w:sz w:val="18"/>
              </w:rPr>
              <w:t>Intangible</w:t>
            </w:r>
            <w:proofErr w:type="spellEnd"/>
            <w:r>
              <w:rPr>
                <w:sz w:val="18"/>
              </w:rPr>
              <w:t xml:space="preserve"> and </w:t>
            </w:r>
            <w:proofErr w:type="spellStart"/>
            <w:r>
              <w:rPr>
                <w:sz w:val="18"/>
              </w:rPr>
              <w:t>tangible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fixed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assets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depreciable</w:t>
            </w:r>
            <w:proofErr w:type="spellEnd"/>
            <w:r>
              <w:rPr>
                <w:sz w:val="18"/>
              </w:rPr>
              <w:t xml:space="preserve"> and </w:t>
            </w:r>
            <w:proofErr w:type="spellStart"/>
            <w:r>
              <w:rPr>
                <w:sz w:val="18"/>
              </w:rPr>
              <w:t>accumulated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depreciation</w:t>
            </w:r>
            <w:proofErr w:type="spellEnd"/>
            <w:r>
              <w:rPr>
                <w:sz w:val="18"/>
              </w:rPr>
              <w:t xml:space="preserve"> of </w:t>
            </w:r>
            <w:proofErr w:type="spellStart"/>
            <w:r>
              <w:rPr>
                <w:sz w:val="18"/>
              </w:rPr>
              <w:t>intangible</w:t>
            </w:r>
            <w:proofErr w:type="spellEnd"/>
            <w:r>
              <w:rPr>
                <w:sz w:val="18"/>
              </w:rPr>
              <w:t xml:space="preserve"> </w:t>
            </w:r>
            <w:r w:rsidR="00770507">
              <w:rPr>
                <w:sz w:val="18"/>
              </w:rPr>
              <w:t xml:space="preserve">                     </w:t>
            </w:r>
            <w:r>
              <w:rPr>
                <w:sz w:val="18"/>
              </w:rPr>
              <w:t xml:space="preserve">and </w:t>
            </w:r>
            <w:proofErr w:type="spellStart"/>
            <w:r>
              <w:rPr>
                <w:sz w:val="18"/>
              </w:rPr>
              <w:t>tangible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fixed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assets</w:t>
            </w:r>
            <w:proofErr w:type="spellEnd"/>
            <w:r>
              <w:rPr>
                <w:sz w:val="18"/>
              </w:rPr>
              <w:t xml:space="preserve"> in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r w:rsidR="00E03A4A">
              <w:rPr>
                <w:sz w:val="18"/>
              </w:rPr>
              <w:t>4th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quarter</w:t>
            </w:r>
            <w:proofErr w:type="spellEnd"/>
            <w:r>
              <w:rPr>
                <w:sz w:val="18"/>
              </w:rPr>
              <w:t xml:space="preserve"> of 2023 </w:t>
            </w:r>
            <w:proofErr w:type="spellStart"/>
            <w:r>
              <w:rPr>
                <w:sz w:val="18"/>
              </w:rPr>
              <w:t>Main</w:t>
            </w:r>
            <w:proofErr w:type="spellEnd"/>
            <w:r>
              <w:rPr>
                <w:sz w:val="18"/>
              </w:rPr>
              <w:t xml:space="preserve"> Industrial </w:t>
            </w:r>
            <w:proofErr w:type="spellStart"/>
            <w:r>
              <w:rPr>
                <w:sz w:val="18"/>
              </w:rPr>
              <w:t>Groupings</w:t>
            </w:r>
            <w:proofErr w:type="spellEnd"/>
          </w:p>
        </w:tc>
        <w:tc>
          <w:tcPr>
            <w:tcW w:w="117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4FFF">
        <w:trPr>
          <w:trHeight w:val="381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143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Zásoby za </w:t>
            </w:r>
            <w:r w:rsidR="00E03A4A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 štvrťrok 2023 podľa SK NACE</w:t>
            </w:r>
          </w:p>
        </w:tc>
        <w:tc>
          <w:tcPr>
            <w:tcW w:w="1179" w:type="dxa"/>
          </w:tcPr>
          <w:p w:rsidR="00764FFF" w:rsidRDefault="00CF6955">
            <w:pPr>
              <w:pStyle w:val="TableParagraph"/>
              <w:spacing w:before="145"/>
              <w:ind w:left="337" w:right="1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3</w:t>
            </w:r>
          </w:p>
        </w:tc>
      </w:tr>
      <w:tr w:rsidR="00764FFF">
        <w:trPr>
          <w:trHeight w:val="391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23"/>
              <w:ind w:left="136"/>
              <w:rPr>
                <w:sz w:val="18"/>
              </w:rPr>
            </w:pPr>
            <w:proofErr w:type="spellStart"/>
            <w:r>
              <w:rPr>
                <w:sz w:val="18"/>
              </w:rPr>
              <w:t>Stocks</w:t>
            </w:r>
            <w:proofErr w:type="spellEnd"/>
            <w:r>
              <w:rPr>
                <w:sz w:val="18"/>
              </w:rPr>
              <w:t xml:space="preserve"> in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r w:rsidR="00E03A4A">
              <w:rPr>
                <w:sz w:val="18"/>
              </w:rPr>
              <w:t>4th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quarter</w:t>
            </w:r>
            <w:proofErr w:type="spellEnd"/>
            <w:r>
              <w:rPr>
                <w:sz w:val="18"/>
              </w:rPr>
              <w:t xml:space="preserve"> of 2023 by SK NACE</w:t>
            </w:r>
          </w:p>
        </w:tc>
        <w:tc>
          <w:tcPr>
            <w:tcW w:w="117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4FFF">
        <w:trPr>
          <w:trHeight w:val="393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155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Zásoby za </w:t>
            </w:r>
            <w:r w:rsidR="00E03A4A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 štvrťrok 2023 podľa špeciálnych zoskupení priemyselných odvetví (SK NACE)</w:t>
            </w:r>
          </w:p>
        </w:tc>
        <w:tc>
          <w:tcPr>
            <w:tcW w:w="1179" w:type="dxa"/>
          </w:tcPr>
          <w:p w:rsidR="00764FFF" w:rsidRDefault="00CF6955">
            <w:pPr>
              <w:pStyle w:val="TableParagraph"/>
              <w:spacing w:before="157"/>
              <w:ind w:left="337" w:right="1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4</w:t>
            </w:r>
          </w:p>
        </w:tc>
      </w:tr>
      <w:tr w:rsidR="00764FFF">
        <w:trPr>
          <w:trHeight w:val="391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23"/>
              <w:ind w:left="136"/>
              <w:rPr>
                <w:sz w:val="18"/>
              </w:rPr>
            </w:pPr>
            <w:proofErr w:type="spellStart"/>
            <w:r>
              <w:rPr>
                <w:sz w:val="18"/>
              </w:rPr>
              <w:t>Stocks</w:t>
            </w:r>
            <w:proofErr w:type="spellEnd"/>
            <w:r>
              <w:rPr>
                <w:sz w:val="18"/>
              </w:rPr>
              <w:t xml:space="preserve"> in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r w:rsidR="00E03A4A">
              <w:rPr>
                <w:sz w:val="18"/>
              </w:rPr>
              <w:t>4th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quarter</w:t>
            </w:r>
            <w:proofErr w:type="spellEnd"/>
            <w:r>
              <w:rPr>
                <w:sz w:val="18"/>
              </w:rPr>
              <w:t xml:space="preserve"> of 2023 by </w:t>
            </w:r>
            <w:proofErr w:type="spellStart"/>
            <w:r>
              <w:rPr>
                <w:sz w:val="18"/>
              </w:rPr>
              <w:t>dividing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into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special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aggregates</w:t>
            </w:r>
            <w:proofErr w:type="spellEnd"/>
            <w:r>
              <w:rPr>
                <w:sz w:val="18"/>
              </w:rPr>
              <w:t xml:space="preserve"> of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industrial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branches</w:t>
            </w:r>
            <w:proofErr w:type="spellEnd"/>
            <w:r>
              <w:rPr>
                <w:sz w:val="18"/>
              </w:rPr>
              <w:t xml:space="preserve"> (SK NACE)</w:t>
            </w:r>
          </w:p>
        </w:tc>
        <w:tc>
          <w:tcPr>
            <w:tcW w:w="117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4FFF">
        <w:trPr>
          <w:trHeight w:val="393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155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Zásoby za </w:t>
            </w:r>
            <w:r w:rsidR="00E03A4A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 štvrťrok 2023 podľa hlavných priemyselných zoskupení</w:t>
            </w:r>
          </w:p>
        </w:tc>
        <w:tc>
          <w:tcPr>
            <w:tcW w:w="1179" w:type="dxa"/>
          </w:tcPr>
          <w:p w:rsidR="00764FFF" w:rsidRDefault="00CF6955">
            <w:pPr>
              <w:pStyle w:val="TableParagraph"/>
              <w:spacing w:before="157"/>
              <w:ind w:left="337" w:right="1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5</w:t>
            </w:r>
          </w:p>
        </w:tc>
      </w:tr>
      <w:tr w:rsidR="00764FFF">
        <w:trPr>
          <w:trHeight w:val="391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23"/>
              <w:ind w:left="136"/>
              <w:rPr>
                <w:sz w:val="18"/>
              </w:rPr>
            </w:pPr>
            <w:proofErr w:type="spellStart"/>
            <w:r>
              <w:rPr>
                <w:sz w:val="18"/>
              </w:rPr>
              <w:t>Stocks</w:t>
            </w:r>
            <w:proofErr w:type="spellEnd"/>
            <w:r>
              <w:rPr>
                <w:sz w:val="18"/>
              </w:rPr>
              <w:t xml:space="preserve"> in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r w:rsidR="00E03A4A">
              <w:rPr>
                <w:sz w:val="18"/>
              </w:rPr>
              <w:t>4th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quarter</w:t>
            </w:r>
            <w:proofErr w:type="spellEnd"/>
            <w:r>
              <w:rPr>
                <w:sz w:val="18"/>
              </w:rPr>
              <w:t xml:space="preserve"> of 2023 by </w:t>
            </w:r>
            <w:proofErr w:type="spellStart"/>
            <w:r>
              <w:rPr>
                <w:sz w:val="18"/>
              </w:rPr>
              <w:t>Main</w:t>
            </w:r>
            <w:proofErr w:type="spellEnd"/>
            <w:r>
              <w:rPr>
                <w:sz w:val="18"/>
              </w:rPr>
              <w:t xml:space="preserve"> Industrial </w:t>
            </w:r>
            <w:proofErr w:type="spellStart"/>
            <w:r>
              <w:rPr>
                <w:sz w:val="18"/>
              </w:rPr>
              <w:t>Groupings</w:t>
            </w:r>
            <w:proofErr w:type="spellEnd"/>
          </w:p>
        </w:tc>
        <w:tc>
          <w:tcPr>
            <w:tcW w:w="117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4FFF">
        <w:trPr>
          <w:trHeight w:val="393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155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Zamestnanci a mzdy za </w:t>
            </w:r>
            <w:r w:rsidR="00E03A4A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 štvrťrok 2023 podľa SK NACE</w:t>
            </w:r>
          </w:p>
        </w:tc>
        <w:tc>
          <w:tcPr>
            <w:tcW w:w="1179" w:type="dxa"/>
          </w:tcPr>
          <w:p w:rsidR="00764FFF" w:rsidRDefault="00CF6955">
            <w:pPr>
              <w:pStyle w:val="TableParagraph"/>
              <w:spacing w:before="157"/>
              <w:ind w:left="337" w:right="1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6</w:t>
            </w:r>
          </w:p>
        </w:tc>
      </w:tr>
      <w:tr w:rsidR="00764FFF">
        <w:trPr>
          <w:trHeight w:val="381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23"/>
              <w:ind w:left="136"/>
              <w:rPr>
                <w:sz w:val="18"/>
              </w:rPr>
            </w:pPr>
            <w:proofErr w:type="spellStart"/>
            <w:r>
              <w:rPr>
                <w:sz w:val="18"/>
              </w:rPr>
              <w:t>Employees</w:t>
            </w:r>
            <w:proofErr w:type="spellEnd"/>
            <w:r>
              <w:rPr>
                <w:sz w:val="18"/>
              </w:rPr>
              <w:t xml:space="preserve"> and </w:t>
            </w:r>
            <w:proofErr w:type="spellStart"/>
            <w:r>
              <w:rPr>
                <w:sz w:val="18"/>
              </w:rPr>
              <w:t>wages</w:t>
            </w:r>
            <w:proofErr w:type="spellEnd"/>
            <w:r>
              <w:rPr>
                <w:sz w:val="18"/>
              </w:rPr>
              <w:t xml:space="preserve"> in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r w:rsidR="00E03A4A">
              <w:rPr>
                <w:sz w:val="18"/>
              </w:rPr>
              <w:t>4th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quarter</w:t>
            </w:r>
            <w:proofErr w:type="spellEnd"/>
            <w:r>
              <w:rPr>
                <w:sz w:val="18"/>
              </w:rPr>
              <w:t xml:space="preserve"> of 2023 by SK NACE</w:t>
            </w:r>
          </w:p>
        </w:tc>
        <w:tc>
          <w:tcPr>
            <w:tcW w:w="117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4FFF">
        <w:trPr>
          <w:trHeight w:val="590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122" w:line="230" w:lineRule="atLeast"/>
              <w:ind w:left="136" w:right="655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Zamestnanci a mzdy za </w:t>
            </w:r>
            <w:r w:rsidR="00E03A4A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 štvrťrok 2023 podľa špeciálnych zoskupení priemyselných odvetví (SK NACE)</w:t>
            </w:r>
          </w:p>
        </w:tc>
        <w:tc>
          <w:tcPr>
            <w:tcW w:w="1179" w:type="dxa"/>
          </w:tcPr>
          <w:p w:rsidR="00764FFF" w:rsidRDefault="00CF6955">
            <w:pPr>
              <w:pStyle w:val="TableParagraph"/>
              <w:spacing w:before="152"/>
              <w:ind w:left="337" w:right="1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7</w:t>
            </w:r>
          </w:p>
        </w:tc>
      </w:tr>
      <w:tr w:rsidR="00764FFF">
        <w:trPr>
          <w:trHeight w:val="580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1" w:line="259" w:lineRule="auto"/>
              <w:ind w:left="136"/>
              <w:rPr>
                <w:sz w:val="18"/>
              </w:rPr>
            </w:pPr>
            <w:proofErr w:type="spellStart"/>
            <w:r>
              <w:rPr>
                <w:sz w:val="18"/>
              </w:rPr>
              <w:t>Employees</w:t>
            </w:r>
            <w:proofErr w:type="spellEnd"/>
            <w:r>
              <w:rPr>
                <w:sz w:val="18"/>
              </w:rPr>
              <w:t xml:space="preserve"> and </w:t>
            </w:r>
            <w:proofErr w:type="spellStart"/>
            <w:r>
              <w:rPr>
                <w:sz w:val="18"/>
              </w:rPr>
              <w:t>wages</w:t>
            </w:r>
            <w:proofErr w:type="spellEnd"/>
            <w:r>
              <w:rPr>
                <w:sz w:val="18"/>
              </w:rPr>
              <w:t xml:space="preserve"> in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r w:rsidR="00E03A4A">
              <w:rPr>
                <w:sz w:val="18"/>
              </w:rPr>
              <w:t xml:space="preserve">4th </w:t>
            </w:r>
            <w:proofErr w:type="spellStart"/>
            <w:r>
              <w:rPr>
                <w:sz w:val="18"/>
              </w:rPr>
              <w:t>quarter</w:t>
            </w:r>
            <w:proofErr w:type="spellEnd"/>
            <w:r>
              <w:rPr>
                <w:sz w:val="18"/>
              </w:rPr>
              <w:t xml:space="preserve"> of 2023 by </w:t>
            </w:r>
            <w:proofErr w:type="spellStart"/>
            <w:r>
              <w:rPr>
                <w:sz w:val="18"/>
              </w:rPr>
              <w:t>dividing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into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special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aggregates</w:t>
            </w:r>
            <w:proofErr w:type="spellEnd"/>
            <w:r>
              <w:rPr>
                <w:sz w:val="18"/>
              </w:rPr>
              <w:t xml:space="preserve"> of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industrial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branches</w:t>
            </w:r>
            <w:proofErr w:type="spellEnd"/>
            <w:r>
              <w:rPr>
                <w:sz w:val="18"/>
              </w:rPr>
              <w:t xml:space="preserve"> (SK NACE)</w:t>
            </w:r>
          </w:p>
        </w:tc>
        <w:tc>
          <w:tcPr>
            <w:tcW w:w="117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4FFF">
        <w:trPr>
          <w:trHeight w:val="381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143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Zamestnanci a mzdy za </w:t>
            </w:r>
            <w:r w:rsidR="00E03A4A">
              <w:rPr>
                <w:b/>
                <w:sz w:val="18"/>
              </w:rPr>
              <w:t>4.</w:t>
            </w:r>
            <w:r>
              <w:rPr>
                <w:b/>
                <w:sz w:val="18"/>
              </w:rPr>
              <w:t xml:space="preserve"> štvrťrok 2023 podľa hlavných priemyselných zoskupení</w:t>
            </w:r>
          </w:p>
        </w:tc>
        <w:tc>
          <w:tcPr>
            <w:tcW w:w="1179" w:type="dxa"/>
          </w:tcPr>
          <w:p w:rsidR="00764FFF" w:rsidRDefault="00CF6955">
            <w:pPr>
              <w:pStyle w:val="TableParagraph"/>
              <w:spacing w:before="145"/>
              <w:ind w:left="337" w:right="1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8</w:t>
            </w:r>
          </w:p>
        </w:tc>
      </w:tr>
      <w:tr w:rsidR="00764FFF">
        <w:trPr>
          <w:trHeight w:val="391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23"/>
              <w:ind w:left="136"/>
              <w:rPr>
                <w:sz w:val="18"/>
              </w:rPr>
            </w:pPr>
            <w:proofErr w:type="spellStart"/>
            <w:r>
              <w:rPr>
                <w:sz w:val="18"/>
              </w:rPr>
              <w:t>Employees</w:t>
            </w:r>
            <w:proofErr w:type="spellEnd"/>
            <w:r>
              <w:rPr>
                <w:sz w:val="18"/>
              </w:rPr>
              <w:t xml:space="preserve"> and </w:t>
            </w:r>
            <w:proofErr w:type="spellStart"/>
            <w:r>
              <w:rPr>
                <w:sz w:val="18"/>
              </w:rPr>
              <w:t>wages</w:t>
            </w:r>
            <w:proofErr w:type="spellEnd"/>
            <w:r>
              <w:rPr>
                <w:sz w:val="18"/>
              </w:rPr>
              <w:t xml:space="preserve"> in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r w:rsidR="00E03A4A">
              <w:rPr>
                <w:sz w:val="18"/>
              </w:rPr>
              <w:t>4th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quarter</w:t>
            </w:r>
            <w:proofErr w:type="spellEnd"/>
            <w:r>
              <w:rPr>
                <w:sz w:val="18"/>
              </w:rPr>
              <w:t xml:space="preserve"> of 2023 by </w:t>
            </w:r>
            <w:proofErr w:type="spellStart"/>
            <w:r>
              <w:rPr>
                <w:sz w:val="18"/>
              </w:rPr>
              <w:t>Main</w:t>
            </w:r>
            <w:proofErr w:type="spellEnd"/>
            <w:r>
              <w:rPr>
                <w:sz w:val="18"/>
              </w:rPr>
              <w:t xml:space="preserve"> Industrial </w:t>
            </w:r>
            <w:proofErr w:type="spellStart"/>
            <w:r>
              <w:rPr>
                <w:sz w:val="18"/>
              </w:rPr>
              <w:t>Groupings</w:t>
            </w:r>
            <w:proofErr w:type="spellEnd"/>
          </w:p>
        </w:tc>
        <w:tc>
          <w:tcPr>
            <w:tcW w:w="117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4FFF">
        <w:trPr>
          <w:trHeight w:val="393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155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Finančné ukazovatele od začiatku roka do konca </w:t>
            </w:r>
            <w:r w:rsidR="00E03A4A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 štvrťroka 2023 podľa SK NACE</w:t>
            </w:r>
          </w:p>
        </w:tc>
        <w:tc>
          <w:tcPr>
            <w:tcW w:w="1179" w:type="dxa"/>
          </w:tcPr>
          <w:p w:rsidR="00764FFF" w:rsidRDefault="00CF6955">
            <w:pPr>
              <w:pStyle w:val="TableParagraph"/>
              <w:spacing w:before="157"/>
              <w:ind w:left="337" w:right="1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9</w:t>
            </w:r>
          </w:p>
        </w:tc>
      </w:tr>
      <w:tr w:rsidR="00764FFF">
        <w:trPr>
          <w:trHeight w:val="230"/>
        </w:trPr>
        <w:tc>
          <w:tcPr>
            <w:tcW w:w="493" w:type="dxa"/>
          </w:tcPr>
          <w:p w:rsidR="00764FFF" w:rsidRDefault="00764F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760" w:type="dxa"/>
          </w:tcPr>
          <w:p w:rsidR="00764FFF" w:rsidRDefault="00CF6955" w:rsidP="00E03A4A">
            <w:pPr>
              <w:pStyle w:val="TableParagraph"/>
              <w:spacing w:before="23" w:line="187" w:lineRule="exact"/>
              <w:ind w:left="136"/>
              <w:rPr>
                <w:sz w:val="18"/>
              </w:rPr>
            </w:pPr>
            <w:proofErr w:type="spellStart"/>
            <w:r>
              <w:rPr>
                <w:sz w:val="18"/>
              </w:rPr>
              <w:t>Financial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indicators</w:t>
            </w:r>
            <w:proofErr w:type="spellEnd"/>
            <w:r>
              <w:rPr>
                <w:sz w:val="18"/>
              </w:rPr>
              <w:t xml:space="preserve"> by </w:t>
            </w:r>
            <w:proofErr w:type="spellStart"/>
            <w:r>
              <w:rPr>
                <w:sz w:val="18"/>
              </w:rPr>
              <w:t>economic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activity</w:t>
            </w:r>
            <w:proofErr w:type="spellEnd"/>
            <w:r>
              <w:rPr>
                <w:sz w:val="18"/>
              </w:rPr>
              <w:t xml:space="preserve"> as </w:t>
            </w:r>
            <w:proofErr w:type="spellStart"/>
            <w:r>
              <w:rPr>
                <w:sz w:val="18"/>
              </w:rPr>
              <w:t>from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beginning</w:t>
            </w:r>
            <w:proofErr w:type="spellEnd"/>
            <w:r>
              <w:rPr>
                <w:sz w:val="18"/>
              </w:rPr>
              <w:t xml:space="preserve"> of </w:t>
            </w:r>
            <w:proofErr w:type="spellStart"/>
            <w:r>
              <w:rPr>
                <w:sz w:val="18"/>
              </w:rPr>
              <w:t>year</w:t>
            </w:r>
            <w:proofErr w:type="spellEnd"/>
            <w:r>
              <w:rPr>
                <w:sz w:val="18"/>
              </w:rPr>
              <w:t xml:space="preserve"> to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end of </w:t>
            </w:r>
            <w:r w:rsidR="00E03A4A">
              <w:rPr>
                <w:sz w:val="18"/>
              </w:rPr>
              <w:t>4th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quarter</w:t>
            </w:r>
            <w:proofErr w:type="spellEnd"/>
            <w:r>
              <w:rPr>
                <w:sz w:val="18"/>
              </w:rPr>
              <w:t xml:space="preserve"> of 2023</w:t>
            </w:r>
          </w:p>
        </w:tc>
        <w:tc>
          <w:tcPr>
            <w:tcW w:w="1179" w:type="dxa"/>
          </w:tcPr>
          <w:p w:rsidR="00764FFF" w:rsidRDefault="00764F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64FFF" w:rsidRDefault="00764FFF">
      <w:pPr>
        <w:rPr>
          <w:rFonts w:ascii="Times New Roman"/>
          <w:sz w:val="16"/>
        </w:rPr>
        <w:sectPr w:rsidR="00764FFF">
          <w:type w:val="continuous"/>
          <w:pgSz w:w="11910" w:h="16840"/>
          <w:pgMar w:top="640" w:right="460" w:bottom="280" w:left="780" w:header="708" w:footer="708" w:gutter="0"/>
          <w:cols w:space="708"/>
        </w:sectPr>
      </w:pPr>
    </w:p>
    <w:tbl>
      <w:tblPr>
        <w:tblStyle w:val="TableNormal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539"/>
        <w:gridCol w:w="8603"/>
        <w:gridCol w:w="1081"/>
      </w:tblGrid>
      <w:tr w:rsidR="00764FFF">
        <w:trPr>
          <w:trHeight w:val="438"/>
        </w:trPr>
        <w:tc>
          <w:tcPr>
            <w:tcW w:w="53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03" w:type="dxa"/>
          </w:tcPr>
          <w:p w:rsidR="00764FFF" w:rsidRDefault="00CF6955">
            <w:pPr>
              <w:pStyle w:val="TableParagraph"/>
              <w:spacing w:line="195" w:lineRule="exact"/>
              <w:ind w:left="9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Finančné ukazovatele od začiatku roka do konca </w:t>
            </w:r>
            <w:r w:rsidR="00770507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 štvrťroka 2023 podľa špeciálnych</w:t>
            </w:r>
          </w:p>
          <w:p w:rsidR="00764FFF" w:rsidRDefault="00CF6955">
            <w:pPr>
              <w:pStyle w:val="TableParagraph"/>
              <w:spacing w:before="23" w:line="201" w:lineRule="exact"/>
              <w:ind w:left="90"/>
              <w:rPr>
                <w:b/>
                <w:sz w:val="18"/>
              </w:rPr>
            </w:pPr>
            <w:r>
              <w:rPr>
                <w:b/>
                <w:sz w:val="18"/>
              </w:rPr>
              <w:t>zoskupení priemyselných odvetví SK NACE</w:t>
            </w:r>
          </w:p>
        </w:tc>
        <w:tc>
          <w:tcPr>
            <w:tcW w:w="1081" w:type="dxa"/>
          </w:tcPr>
          <w:p w:rsidR="00764FFF" w:rsidRDefault="00CF6955">
            <w:pPr>
              <w:pStyle w:val="TableParagraph"/>
              <w:spacing w:line="202" w:lineRule="exact"/>
              <w:ind w:right="1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20</w:t>
            </w:r>
          </w:p>
        </w:tc>
      </w:tr>
      <w:tr w:rsidR="00764FFF">
        <w:trPr>
          <w:trHeight w:val="571"/>
        </w:trPr>
        <w:tc>
          <w:tcPr>
            <w:tcW w:w="53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03" w:type="dxa"/>
          </w:tcPr>
          <w:p w:rsidR="00764FFF" w:rsidRDefault="00CF6955" w:rsidP="00770507">
            <w:pPr>
              <w:pStyle w:val="TableParagraph"/>
              <w:spacing w:line="259" w:lineRule="auto"/>
              <w:ind w:left="90" w:right="464"/>
              <w:rPr>
                <w:sz w:val="18"/>
              </w:rPr>
            </w:pPr>
            <w:proofErr w:type="spellStart"/>
            <w:r>
              <w:rPr>
                <w:sz w:val="18"/>
              </w:rPr>
              <w:t>Financial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indicators</w:t>
            </w:r>
            <w:proofErr w:type="spellEnd"/>
            <w:r>
              <w:rPr>
                <w:sz w:val="18"/>
              </w:rPr>
              <w:t xml:space="preserve"> by </w:t>
            </w:r>
            <w:proofErr w:type="spellStart"/>
            <w:r>
              <w:rPr>
                <w:sz w:val="18"/>
              </w:rPr>
              <w:t>special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aggregates</w:t>
            </w:r>
            <w:proofErr w:type="spellEnd"/>
            <w:r>
              <w:rPr>
                <w:sz w:val="18"/>
              </w:rPr>
              <w:t xml:space="preserve"> of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industrial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branches</w:t>
            </w:r>
            <w:proofErr w:type="spellEnd"/>
            <w:r>
              <w:rPr>
                <w:sz w:val="18"/>
              </w:rPr>
              <w:t xml:space="preserve"> SK NACE as </w:t>
            </w:r>
            <w:proofErr w:type="spellStart"/>
            <w:r>
              <w:rPr>
                <w:sz w:val="18"/>
              </w:rPr>
              <w:t>from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beginning</w:t>
            </w:r>
            <w:proofErr w:type="spellEnd"/>
            <w:r>
              <w:rPr>
                <w:sz w:val="18"/>
              </w:rPr>
              <w:t xml:space="preserve"> </w:t>
            </w:r>
            <w:r w:rsidR="00770507">
              <w:rPr>
                <w:sz w:val="18"/>
              </w:rPr>
              <w:t xml:space="preserve">               </w:t>
            </w:r>
            <w:r>
              <w:rPr>
                <w:sz w:val="18"/>
              </w:rPr>
              <w:t xml:space="preserve">of </w:t>
            </w:r>
            <w:proofErr w:type="spellStart"/>
            <w:r>
              <w:rPr>
                <w:sz w:val="18"/>
              </w:rPr>
              <w:t>year</w:t>
            </w:r>
            <w:proofErr w:type="spellEnd"/>
            <w:r>
              <w:rPr>
                <w:sz w:val="18"/>
              </w:rPr>
              <w:t xml:space="preserve"> to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end of </w:t>
            </w:r>
            <w:r w:rsidR="00770507">
              <w:rPr>
                <w:sz w:val="18"/>
              </w:rPr>
              <w:t>4th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quarter</w:t>
            </w:r>
            <w:proofErr w:type="spellEnd"/>
            <w:r>
              <w:rPr>
                <w:sz w:val="18"/>
              </w:rPr>
              <w:t xml:space="preserve"> of 2023</w:t>
            </w:r>
          </w:p>
        </w:tc>
        <w:tc>
          <w:tcPr>
            <w:tcW w:w="1081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4FFF">
        <w:trPr>
          <w:trHeight w:val="578"/>
        </w:trPr>
        <w:tc>
          <w:tcPr>
            <w:tcW w:w="53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03" w:type="dxa"/>
          </w:tcPr>
          <w:p w:rsidR="00764FFF" w:rsidRDefault="00CF6955" w:rsidP="00770507">
            <w:pPr>
              <w:pStyle w:val="TableParagraph"/>
              <w:spacing w:before="104" w:line="230" w:lineRule="atLeast"/>
              <w:ind w:left="90" w:right="464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Finančné ukazovatele od začiatku roka do konca </w:t>
            </w:r>
            <w:r w:rsidR="00770507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 štvrťroka 2023 podľa hlavných priemyselných zoskupení</w:t>
            </w:r>
          </w:p>
        </w:tc>
        <w:tc>
          <w:tcPr>
            <w:tcW w:w="1081" w:type="dxa"/>
          </w:tcPr>
          <w:p w:rsidR="00764FFF" w:rsidRDefault="00CF6955">
            <w:pPr>
              <w:pStyle w:val="TableParagraph"/>
              <w:spacing w:before="134"/>
              <w:ind w:right="1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1</w:t>
            </w:r>
          </w:p>
        </w:tc>
      </w:tr>
      <w:tr w:rsidR="00764FFF">
        <w:trPr>
          <w:trHeight w:val="580"/>
        </w:trPr>
        <w:tc>
          <w:tcPr>
            <w:tcW w:w="53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03" w:type="dxa"/>
          </w:tcPr>
          <w:p w:rsidR="00764FFF" w:rsidRDefault="00CF6955" w:rsidP="00770507">
            <w:pPr>
              <w:pStyle w:val="TableParagraph"/>
              <w:spacing w:line="259" w:lineRule="auto"/>
              <w:ind w:left="90" w:right="464"/>
              <w:rPr>
                <w:sz w:val="18"/>
              </w:rPr>
            </w:pPr>
            <w:proofErr w:type="spellStart"/>
            <w:r>
              <w:rPr>
                <w:sz w:val="18"/>
              </w:rPr>
              <w:t>Financ</w:t>
            </w:r>
            <w:r>
              <w:rPr>
                <w:sz w:val="18"/>
              </w:rPr>
              <w:t>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indicators</w:t>
            </w:r>
            <w:proofErr w:type="spellEnd"/>
            <w:r>
              <w:rPr>
                <w:sz w:val="18"/>
              </w:rPr>
              <w:t xml:space="preserve"> by </w:t>
            </w:r>
            <w:proofErr w:type="spellStart"/>
            <w:r>
              <w:rPr>
                <w:sz w:val="18"/>
              </w:rPr>
              <w:t>Main</w:t>
            </w:r>
            <w:proofErr w:type="spellEnd"/>
            <w:r>
              <w:rPr>
                <w:sz w:val="18"/>
              </w:rPr>
              <w:t xml:space="preserve"> Industrial </w:t>
            </w:r>
            <w:proofErr w:type="spellStart"/>
            <w:r>
              <w:rPr>
                <w:sz w:val="18"/>
              </w:rPr>
              <w:t>Groupings</w:t>
            </w:r>
            <w:proofErr w:type="spellEnd"/>
            <w:r>
              <w:rPr>
                <w:sz w:val="18"/>
              </w:rPr>
              <w:t xml:space="preserve"> as </w:t>
            </w:r>
            <w:proofErr w:type="spellStart"/>
            <w:r>
              <w:rPr>
                <w:sz w:val="18"/>
              </w:rPr>
              <w:t>from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beginning</w:t>
            </w:r>
            <w:proofErr w:type="spellEnd"/>
            <w:r>
              <w:rPr>
                <w:sz w:val="18"/>
              </w:rPr>
              <w:t xml:space="preserve"> of </w:t>
            </w:r>
            <w:proofErr w:type="spellStart"/>
            <w:r>
              <w:rPr>
                <w:sz w:val="18"/>
              </w:rPr>
              <w:t>year</w:t>
            </w:r>
            <w:proofErr w:type="spellEnd"/>
            <w:r>
              <w:rPr>
                <w:sz w:val="18"/>
              </w:rPr>
              <w:t xml:space="preserve"> to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end of </w:t>
            </w:r>
            <w:r w:rsidR="00770507">
              <w:rPr>
                <w:sz w:val="18"/>
              </w:rPr>
              <w:t>4th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quarter</w:t>
            </w:r>
            <w:proofErr w:type="spellEnd"/>
            <w:r>
              <w:rPr>
                <w:sz w:val="18"/>
              </w:rPr>
              <w:t xml:space="preserve"> of 2023</w:t>
            </w:r>
          </w:p>
        </w:tc>
        <w:tc>
          <w:tcPr>
            <w:tcW w:w="1081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4FFF">
        <w:trPr>
          <w:trHeight w:val="382"/>
        </w:trPr>
        <w:tc>
          <w:tcPr>
            <w:tcW w:w="53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03" w:type="dxa"/>
          </w:tcPr>
          <w:p w:rsidR="00764FFF" w:rsidRDefault="00CF6955" w:rsidP="00770507">
            <w:pPr>
              <w:pStyle w:val="TableParagraph"/>
              <w:spacing w:before="137"/>
              <w:ind w:left="9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Zamestnanci a mzdy od začiatku roka do konca </w:t>
            </w:r>
            <w:r w:rsidR="00770507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 štvrťroka 2023 podľa SK NACE</w:t>
            </w:r>
          </w:p>
        </w:tc>
        <w:tc>
          <w:tcPr>
            <w:tcW w:w="1081" w:type="dxa"/>
          </w:tcPr>
          <w:p w:rsidR="00764FFF" w:rsidRDefault="00CF6955">
            <w:pPr>
              <w:pStyle w:val="TableParagraph"/>
              <w:spacing w:before="139"/>
              <w:ind w:right="1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2</w:t>
            </w:r>
          </w:p>
        </w:tc>
      </w:tr>
      <w:tr w:rsidR="00764FFF">
        <w:trPr>
          <w:trHeight w:val="381"/>
        </w:trPr>
        <w:tc>
          <w:tcPr>
            <w:tcW w:w="53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03" w:type="dxa"/>
          </w:tcPr>
          <w:p w:rsidR="00764FFF" w:rsidRDefault="00CF6955" w:rsidP="00770507">
            <w:pPr>
              <w:pStyle w:val="TableParagraph"/>
              <w:spacing w:before="18"/>
              <w:ind w:left="90"/>
              <w:rPr>
                <w:sz w:val="18"/>
              </w:rPr>
            </w:pPr>
            <w:proofErr w:type="spellStart"/>
            <w:r>
              <w:rPr>
                <w:sz w:val="18"/>
              </w:rPr>
              <w:t>Employees</w:t>
            </w:r>
            <w:proofErr w:type="spellEnd"/>
            <w:r>
              <w:rPr>
                <w:sz w:val="18"/>
              </w:rPr>
              <w:t xml:space="preserve"> and </w:t>
            </w:r>
            <w:proofErr w:type="spellStart"/>
            <w:r>
              <w:rPr>
                <w:sz w:val="18"/>
              </w:rPr>
              <w:t>wages</w:t>
            </w:r>
            <w:proofErr w:type="spellEnd"/>
            <w:r>
              <w:rPr>
                <w:sz w:val="18"/>
              </w:rPr>
              <w:t xml:space="preserve"> by SK NACE as </w:t>
            </w:r>
            <w:proofErr w:type="spellStart"/>
            <w:r>
              <w:rPr>
                <w:sz w:val="18"/>
              </w:rPr>
              <w:t>from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beginning</w:t>
            </w:r>
            <w:proofErr w:type="spellEnd"/>
            <w:r>
              <w:rPr>
                <w:sz w:val="18"/>
              </w:rPr>
              <w:t xml:space="preserve"> of </w:t>
            </w:r>
            <w:proofErr w:type="spellStart"/>
            <w:r>
              <w:rPr>
                <w:sz w:val="18"/>
              </w:rPr>
              <w:t>year</w:t>
            </w:r>
            <w:proofErr w:type="spellEnd"/>
            <w:r>
              <w:rPr>
                <w:sz w:val="18"/>
              </w:rPr>
              <w:t xml:space="preserve"> to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end of </w:t>
            </w:r>
            <w:r w:rsidR="00770507">
              <w:rPr>
                <w:sz w:val="18"/>
              </w:rPr>
              <w:t>4th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quarter</w:t>
            </w:r>
            <w:proofErr w:type="spellEnd"/>
            <w:r>
              <w:rPr>
                <w:sz w:val="18"/>
              </w:rPr>
              <w:t xml:space="preserve"> of 2023</w:t>
            </w:r>
          </w:p>
        </w:tc>
        <w:tc>
          <w:tcPr>
            <w:tcW w:w="1081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4FFF">
        <w:trPr>
          <w:trHeight w:val="589"/>
        </w:trPr>
        <w:tc>
          <w:tcPr>
            <w:tcW w:w="53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03" w:type="dxa"/>
          </w:tcPr>
          <w:p w:rsidR="00764FFF" w:rsidRDefault="00CF6955" w:rsidP="00770507">
            <w:pPr>
              <w:pStyle w:val="TableParagraph"/>
              <w:spacing w:before="115" w:line="230" w:lineRule="atLeast"/>
              <w:ind w:left="90" w:right="464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Zamestnanci a mzdy od začiatku roka do konca </w:t>
            </w:r>
            <w:r w:rsidR="00770507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 štvrťroka 2023 podľa špeciálnych zoskupení priemyselných odvetví SK NACE</w:t>
            </w:r>
          </w:p>
        </w:tc>
        <w:tc>
          <w:tcPr>
            <w:tcW w:w="1081" w:type="dxa"/>
          </w:tcPr>
          <w:p w:rsidR="00764FFF" w:rsidRDefault="00CF6955">
            <w:pPr>
              <w:pStyle w:val="TableParagraph"/>
              <w:spacing w:before="145"/>
              <w:ind w:right="1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3</w:t>
            </w:r>
          </w:p>
        </w:tc>
      </w:tr>
      <w:tr w:rsidR="00764FFF">
        <w:trPr>
          <w:trHeight w:val="571"/>
        </w:trPr>
        <w:tc>
          <w:tcPr>
            <w:tcW w:w="53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03" w:type="dxa"/>
          </w:tcPr>
          <w:p w:rsidR="00764FFF" w:rsidRDefault="00CF6955" w:rsidP="00770507">
            <w:pPr>
              <w:pStyle w:val="TableParagraph"/>
              <w:spacing w:line="259" w:lineRule="auto"/>
              <w:ind w:left="90" w:right="588"/>
              <w:rPr>
                <w:sz w:val="18"/>
              </w:rPr>
            </w:pPr>
            <w:proofErr w:type="spellStart"/>
            <w:r>
              <w:rPr>
                <w:sz w:val="18"/>
              </w:rPr>
              <w:t>Employees</w:t>
            </w:r>
            <w:proofErr w:type="spellEnd"/>
            <w:r>
              <w:rPr>
                <w:sz w:val="18"/>
              </w:rPr>
              <w:t xml:space="preserve"> and </w:t>
            </w:r>
            <w:proofErr w:type="spellStart"/>
            <w:r>
              <w:rPr>
                <w:sz w:val="18"/>
              </w:rPr>
              <w:t>wages</w:t>
            </w:r>
            <w:proofErr w:type="spellEnd"/>
            <w:r>
              <w:rPr>
                <w:sz w:val="18"/>
              </w:rPr>
              <w:t xml:space="preserve"> by </w:t>
            </w:r>
            <w:proofErr w:type="spellStart"/>
            <w:r>
              <w:rPr>
                <w:sz w:val="18"/>
              </w:rPr>
              <w:t>special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aggregates</w:t>
            </w:r>
            <w:proofErr w:type="spellEnd"/>
            <w:r>
              <w:rPr>
                <w:sz w:val="18"/>
              </w:rPr>
              <w:t xml:space="preserve"> of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industrial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branches</w:t>
            </w:r>
            <w:proofErr w:type="spellEnd"/>
            <w:r>
              <w:rPr>
                <w:sz w:val="18"/>
              </w:rPr>
              <w:t xml:space="preserve"> SK NACE </w:t>
            </w:r>
            <w:r w:rsidR="00770507">
              <w:rPr>
                <w:sz w:val="18"/>
              </w:rPr>
              <w:t xml:space="preserve">                                    </w:t>
            </w:r>
            <w:r>
              <w:rPr>
                <w:sz w:val="18"/>
              </w:rPr>
              <w:t xml:space="preserve">as </w:t>
            </w:r>
            <w:proofErr w:type="spellStart"/>
            <w:r>
              <w:rPr>
                <w:sz w:val="18"/>
              </w:rPr>
              <w:t>from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beginning</w:t>
            </w:r>
            <w:proofErr w:type="spellEnd"/>
            <w:r>
              <w:rPr>
                <w:sz w:val="18"/>
              </w:rPr>
              <w:t xml:space="preserve"> of </w:t>
            </w:r>
            <w:proofErr w:type="spellStart"/>
            <w:r>
              <w:rPr>
                <w:sz w:val="18"/>
              </w:rPr>
              <w:t>year</w:t>
            </w:r>
            <w:proofErr w:type="spellEnd"/>
            <w:r>
              <w:rPr>
                <w:sz w:val="18"/>
              </w:rPr>
              <w:t xml:space="preserve"> to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end of </w:t>
            </w:r>
            <w:r w:rsidR="00770507">
              <w:rPr>
                <w:sz w:val="18"/>
              </w:rPr>
              <w:t>4th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quarter</w:t>
            </w:r>
            <w:proofErr w:type="spellEnd"/>
            <w:r>
              <w:rPr>
                <w:sz w:val="18"/>
              </w:rPr>
              <w:t xml:space="preserve"> of 2023</w:t>
            </w:r>
          </w:p>
        </w:tc>
        <w:tc>
          <w:tcPr>
            <w:tcW w:w="1081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4FFF">
        <w:trPr>
          <w:trHeight w:val="578"/>
        </w:trPr>
        <w:tc>
          <w:tcPr>
            <w:tcW w:w="53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03" w:type="dxa"/>
          </w:tcPr>
          <w:p w:rsidR="00764FFF" w:rsidRDefault="00CF6955" w:rsidP="00770507">
            <w:pPr>
              <w:pStyle w:val="TableParagraph"/>
              <w:spacing w:before="104" w:line="230" w:lineRule="atLeast"/>
              <w:ind w:left="90" w:right="1554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Zamestnanci a mzdy od začiatku roka do konca </w:t>
            </w:r>
            <w:r w:rsidR="00770507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>. štvrťroka 2023 podľa hlavných priemyselných zoskupení</w:t>
            </w:r>
          </w:p>
        </w:tc>
        <w:tc>
          <w:tcPr>
            <w:tcW w:w="1081" w:type="dxa"/>
          </w:tcPr>
          <w:p w:rsidR="00764FFF" w:rsidRDefault="00CF6955">
            <w:pPr>
              <w:pStyle w:val="TableParagraph"/>
              <w:spacing w:before="134"/>
              <w:ind w:right="1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4</w:t>
            </w:r>
          </w:p>
        </w:tc>
      </w:tr>
      <w:tr w:rsidR="00764FFF">
        <w:trPr>
          <w:trHeight w:val="712"/>
        </w:trPr>
        <w:tc>
          <w:tcPr>
            <w:tcW w:w="53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03" w:type="dxa"/>
          </w:tcPr>
          <w:p w:rsidR="00764FFF" w:rsidRDefault="00CF6955" w:rsidP="00770507">
            <w:pPr>
              <w:pStyle w:val="TableParagraph"/>
              <w:spacing w:line="259" w:lineRule="auto"/>
              <w:ind w:left="90" w:right="464"/>
              <w:rPr>
                <w:sz w:val="18"/>
              </w:rPr>
            </w:pPr>
            <w:proofErr w:type="spellStart"/>
            <w:r>
              <w:rPr>
                <w:sz w:val="18"/>
              </w:rPr>
              <w:t>Employees</w:t>
            </w:r>
            <w:proofErr w:type="spellEnd"/>
            <w:r>
              <w:rPr>
                <w:sz w:val="18"/>
              </w:rPr>
              <w:t xml:space="preserve"> and </w:t>
            </w:r>
            <w:proofErr w:type="spellStart"/>
            <w:r>
              <w:rPr>
                <w:sz w:val="18"/>
              </w:rPr>
              <w:t>wages</w:t>
            </w:r>
            <w:proofErr w:type="spellEnd"/>
            <w:r>
              <w:rPr>
                <w:sz w:val="18"/>
              </w:rPr>
              <w:t xml:space="preserve"> by </w:t>
            </w:r>
            <w:proofErr w:type="spellStart"/>
            <w:r>
              <w:rPr>
                <w:sz w:val="18"/>
              </w:rPr>
              <w:t>Main</w:t>
            </w:r>
            <w:proofErr w:type="spellEnd"/>
            <w:r>
              <w:rPr>
                <w:sz w:val="18"/>
              </w:rPr>
              <w:t xml:space="preserve"> Industrial </w:t>
            </w:r>
            <w:proofErr w:type="spellStart"/>
            <w:r>
              <w:rPr>
                <w:sz w:val="18"/>
              </w:rPr>
              <w:t>Groupings</w:t>
            </w:r>
            <w:proofErr w:type="spellEnd"/>
            <w:r>
              <w:rPr>
                <w:sz w:val="18"/>
              </w:rPr>
              <w:t xml:space="preserve"> as </w:t>
            </w:r>
            <w:proofErr w:type="spellStart"/>
            <w:r>
              <w:rPr>
                <w:sz w:val="18"/>
              </w:rPr>
              <w:t>from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beginning</w:t>
            </w:r>
            <w:proofErr w:type="spellEnd"/>
            <w:r>
              <w:rPr>
                <w:sz w:val="18"/>
              </w:rPr>
              <w:t xml:space="preserve"> of </w:t>
            </w:r>
            <w:proofErr w:type="spellStart"/>
            <w:r>
              <w:rPr>
                <w:sz w:val="18"/>
              </w:rPr>
              <w:t>year</w:t>
            </w:r>
            <w:proofErr w:type="spellEnd"/>
            <w:r>
              <w:rPr>
                <w:sz w:val="18"/>
              </w:rPr>
              <w:t xml:space="preserve"> to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end </w:t>
            </w:r>
            <w:r w:rsidR="00770507">
              <w:rPr>
                <w:sz w:val="18"/>
              </w:rPr>
              <w:t xml:space="preserve">                                   </w:t>
            </w:r>
            <w:r>
              <w:rPr>
                <w:sz w:val="18"/>
              </w:rPr>
              <w:t xml:space="preserve">of </w:t>
            </w:r>
            <w:r w:rsidR="00770507">
              <w:rPr>
                <w:sz w:val="18"/>
              </w:rPr>
              <w:t>4th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quarter</w:t>
            </w:r>
            <w:proofErr w:type="spellEnd"/>
            <w:r>
              <w:rPr>
                <w:sz w:val="18"/>
              </w:rPr>
              <w:t xml:space="preserve"> of 2023</w:t>
            </w:r>
          </w:p>
        </w:tc>
        <w:tc>
          <w:tcPr>
            <w:tcW w:w="1081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4FFF">
        <w:trPr>
          <w:trHeight w:val="904"/>
        </w:trPr>
        <w:tc>
          <w:tcPr>
            <w:tcW w:w="53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03" w:type="dxa"/>
          </w:tcPr>
          <w:p w:rsidR="00764FFF" w:rsidRDefault="00764FFF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:rsidR="00764FFF" w:rsidRDefault="00CF6955">
            <w:pPr>
              <w:pStyle w:val="TableParagraph"/>
              <w:ind w:left="90"/>
              <w:rPr>
                <w:sz w:val="18"/>
              </w:rPr>
            </w:pPr>
            <w:r>
              <w:rPr>
                <w:b/>
                <w:sz w:val="18"/>
              </w:rPr>
              <w:t xml:space="preserve">Legendy </w:t>
            </w:r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Legends</w:t>
            </w:r>
            <w:proofErr w:type="spellEnd"/>
          </w:p>
        </w:tc>
        <w:tc>
          <w:tcPr>
            <w:tcW w:w="1081" w:type="dxa"/>
          </w:tcPr>
          <w:p w:rsidR="00764FFF" w:rsidRDefault="00764FFF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:rsidR="00764FFF" w:rsidRDefault="00CF6955">
            <w:pPr>
              <w:pStyle w:val="TableParagraph"/>
              <w:ind w:right="1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25</w:t>
            </w:r>
          </w:p>
        </w:tc>
      </w:tr>
      <w:tr w:rsidR="00764FFF">
        <w:trPr>
          <w:trHeight w:val="1035"/>
        </w:trPr>
        <w:tc>
          <w:tcPr>
            <w:tcW w:w="53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03" w:type="dxa"/>
          </w:tcPr>
          <w:p w:rsidR="00764FFF" w:rsidRDefault="00764FFF">
            <w:pPr>
              <w:pStyle w:val="TableParagraph"/>
              <w:rPr>
                <w:rFonts w:ascii="Times New Roman"/>
                <w:sz w:val="20"/>
              </w:rPr>
            </w:pPr>
          </w:p>
          <w:p w:rsidR="00764FFF" w:rsidRDefault="00764FFF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764FFF" w:rsidRDefault="00CF6955">
            <w:pPr>
              <w:pStyle w:val="TableParagraph"/>
              <w:ind w:left="90"/>
              <w:rPr>
                <w:sz w:val="18"/>
              </w:rPr>
            </w:pPr>
            <w:r>
              <w:rPr>
                <w:b/>
                <w:sz w:val="18"/>
              </w:rPr>
              <w:t xml:space="preserve">Grafy </w:t>
            </w:r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Graphs</w:t>
            </w:r>
            <w:proofErr w:type="spellEnd"/>
          </w:p>
        </w:tc>
        <w:tc>
          <w:tcPr>
            <w:tcW w:w="1081" w:type="dxa"/>
          </w:tcPr>
          <w:p w:rsidR="00764FFF" w:rsidRDefault="00764FFF">
            <w:pPr>
              <w:pStyle w:val="TableParagraph"/>
              <w:rPr>
                <w:rFonts w:ascii="Times New Roman"/>
                <w:sz w:val="20"/>
              </w:rPr>
            </w:pPr>
          </w:p>
          <w:p w:rsidR="00764FFF" w:rsidRDefault="00764FFF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764FFF" w:rsidRDefault="00CF6955">
            <w:pPr>
              <w:pStyle w:val="TableParagraph"/>
              <w:ind w:right="1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</w:t>
            </w:r>
          </w:p>
        </w:tc>
      </w:tr>
      <w:tr w:rsidR="00764FFF">
        <w:trPr>
          <w:trHeight w:val="850"/>
        </w:trPr>
        <w:tc>
          <w:tcPr>
            <w:tcW w:w="53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03" w:type="dxa"/>
          </w:tcPr>
          <w:p w:rsidR="00764FFF" w:rsidRDefault="00764FFF">
            <w:pPr>
              <w:pStyle w:val="TableParagraph"/>
              <w:rPr>
                <w:rFonts w:ascii="Times New Roman"/>
                <w:sz w:val="20"/>
              </w:rPr>
            </w:pPr>
          </w:p>
          <w:p w:rsidR="00764FFF" w:rsidRDefault="00CF6955" w:rsidP="00770507">
            <w:pPr>
              <w:pStyle w:val="TableParagraph"/>
              <w:spacing w:before="147" w:line="230" w:lineRule="atLeast"/>
              <w:ind w:left="9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Vybrané finančné ukazovatele za </w:t>
            </w:r>
            <w:r w:rsidR="00770507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 xml:space="preserve">. štvrťrok 2023 podľa </w:t>
            </w:r>
            <w:proofErr w:type="spellStart"/>
            <w:r>
              <w:rPr>
                <w:b/>
                <w:sz w:val="18"/>
              </w:rPr>
              <w:t>sekcíí</w:t>
            </w:r>
            <w:proofErr w:type="spellEnd"/>
            <w:r>
              <w:rPr>
                <w:b/>
                <w:sz w:val="18"/>
              </w:rPr>
              <w:t xml:space="preserve"> a špeciálnych zoskupení priemyselných odvetví SK NACE (v bežných cenách)</w:t>
            </w:r>
          </w:p>
        </w:tc>
        <w:tc>
          <w:tcPr>
            <w:tcW w:w="1081" w:type="dxa"/>
          </w:tcPr>
          <w:p w:rsidR="00764FFF" w:rsidRDefault="00764FFF">
            <w:pPr>
              <w:pStyle w:val="TableParagraph"/>
              <w:rPr>
                <w:rFonts w:ascii="Times New Roman"/>
                <w:sz w:val="20"/>
              </w:rPr>
            </w:pPr>
          </w:p>
          <w:p w:rsidR="00764FFF" w:rsidRDefault="00CF6955">
            <w:pPr>
              <w:pStyle w:val="TableParagraph"/>
              <w:spacing w:before="177"/>
              <w:ind w:right="1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27</w:t>
            </w:r>
          </w:p>
        </w:tc>
      </w:tr>
      <w:tr w:rsidR="00764FFF">
        <w:trPr>
          <w:trHeight w:val="571"/>
        </w:trPr>
        <w:tc>
          <w:tcPr>
            <w:tcW w:w="53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03" w:type="dxa"/>
          </w:tcPr>
          <w:p w:rsidR="00764FFF" w:rsidRDefault="00CF6955">
            <w:pPr>
              <w:pStyle w:val="TableParagraph"/>
              <w:spacing w:line="259" w:lineRule="auto"/>
              <w:ind w:left="90" w:right="464"/>
              <w:rPr>
                <w:sz w:val="18"/>
              </w:rPr>
            </w:pPr>
            <w:proofErr w:type="spellStart"/>
            <w:r>
              <w:rPr>
                <w:sz w:val="18"/>
              </w:rPr>
              <w:t>Selected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financial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indicators</w:t>
            </w:r>
            <w:proofErr w:type="spellEnd"/>
            <w:r>
              <w:rPr>
                <w:sz w:val="18"/>
              </w:rPr>
              <w:t xml:space="preserve"> in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4th </w:t>
            </w:r>
            <w:proofErr w:type="spellStart"/>
            <w:r>
              <w:rPr>
                <w:sz w:val="18"/>
              </w:rPr>
              <w:t>quarter</w:t>
            </w:r>
            <w:proofErr w:type="spellEnd"/>
            <w:r>
              <w:rPr>
                <w:sz w:val="18"/>
              </w:rPr>
              <w:t xml:space="preserve"> 2022 by </w:t>
            </w:r>
            <w:proofErr w:type="spellStart"/>
            <w:r>
              <w:rPr>
                <w:sz w:val="18"/>
              </w:rPr>
              <w:t>selected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sections</w:t>
            </w:r>
            <w:proofErr w:type="spellEnd"/>
            <w:r>
              <w:rPr>
                <w:sz w:val="18"/>
              </w:rPr>
              <w:t xml:space="preserve"> and </w:t>
            </w:r>
            <w:proofErr w:type="spellStart"/>
            <w:r>
              <w:rPr>
                <w:sz w:val="18"/>
              </w:rPr>
              <w:t>special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aggregates</w:t>
            </w:r>
            <w:proofErr w:type="spellEnd"/>
            <w:r>
              <w:rPr>
                <w:sz w:val="18"/>
              </w:rPr>
              <w:t xml:space="preserve"> </w:t>
            </w:r>
            <w:r w:rsidR="00770507">
              <w:rPr>
                <w:sz w:val="18"/>
              </w:rPr>
              <w:t xml:space="preserve">                   </w:t>
            </w:r>
            <w:r>
              <w:rPr>
                <w:sz w:val="18"/>
              </w:rPr>
              <w:t xml:space="preserve">of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industrial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branches</w:t>
            </w:r>
            <w:proofErr w:type="spellEnd"/>
            <w:r>
              <w:rPr>
                <w:sz w:val="18"/>
              </w:rPr>
              <w:t xml:space="preserve"> of SK NACE (at </w:t>
            </w:r>
            <w:proofErr w:type="spellStart"/>
            <w:r>
              <w:rPr>
                <w:sz w:val="18"/>
              </w:rPr>
              <w:t>current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prices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081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4FFF">
        <w:trPr>
          <w:trHeight w:val="632"/>
        </w:trPr>
        <w:tc>
          <w:tcPr>
            <w:tcW w:w="53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03" w:type="dxa"/>
          </w:tcPr>
          <w:p w:rsidR="00764FFF" w:rsidRDefault="00CF6955" w:rsidP="00770507">
            <w:pPr>
              <w:pStyle w:val="TableParagraph"/>
              <w:spacing w:before="127" w:line="266" w:lineRule="auto"/>
              <w:ind w:left="9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Vybrané finančné ukazovatele od začiatku roka do konca </w:t>
            </w:r>
            <w:r w:rsidR="00770507">
              <w:rPr>
                <w:b/>
                <w:sz w:val="18"/>
              </w:rPr>
              <w:t>4</w:t>
            </w:r>
            <w:r>
              <w:rPr>
                <w:b/>
                <w:sz w:val="18"/>
              </w:rPr>
              <w:t xml:space="preserve">. štvrťroka 2023 podľa </w:t>
            </w:r>
            <w:proofErr w:type="spellStart"/>
            <w:r>
              <w:rPr>
                <w:b/>
                <w:sz w:val="18"/>
              </w:rPr>
              <w:t>sekcíí</w:t>
            </w:r>
            <w:proofErr w:type="spellEnd"/>
            <w:r>
              <w:rPr>
                <w:b/>
                <w:sz w:val="18"/>
              </w:rPr>
              <w:t xml:space="preserve"> </w:t>
            </w:r>
            <w:r w:rsidR="00770507">
              <w:rPr>
                <w:b/>
                <w:sz w:val="18"/>
              </w:rPr>
              <w:t xml:space="preserve">                              </w:t>
            </w:r>
            <w:bookmarkStart w:id="1" w:name="_GoBack"/>
            <w:bookmarkEnd w:id="1"/>
            <w:r>
              <w:rPr>
                <w:b/>
                <w:sz w:val="18"/>
              </w:rPr>
              <w:t>a špeciálny</w:t>
            </w:r>
            <w:r>
              <w:rPr>
                <w:b/>
                <w:sz w:val="18"/>
              </w:rPr>
              <w:t>ch zoskupení priemyselných odvetví SK NACE (v bežných cenách)</w:t>
            </w:r>
          </w:p>
        </w:tc>
        <w:tc>
          <w:tcPr>
            <w:tcW w:w="1081" w:type="dxa"/>
          </w:tcPr>
          <w:p w:rsidR="00764FFF" w:rsidRDefault="00CF6955">
            <w:pPr>
              <w:pStyle w:val="TableParagraph"/>
              <w:spacing w:before="134"/>
              <w:ind w:right="1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  <w:r>
              <w:rPr>
                <w:b/>
                <w:sz w:val="18"/>
              </w:rPr>
              <w:t>8</w:t>
            </w:r>
          </w:p>
        </w:tc>
      </w:tr>
      <w:tr w:rsidR="00764FFF">
        <w:trPr>
          <w:trHeight w:val="692"/>
        </w:trPr>
        <w:tc>
          <w:tcPr>
            <w:tcW w:w="53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03" w:type="dxa"/>
          </w:tcPr>
          <w:p w:rsidR="00764FFF" w:rsidRDefault="00CF6955">
            <w:pPr>
              <w:pStyle w:val="TableParagraph"/>
              <w:spacing w:before="49" w:line="259" w:lineRule="auto"/>
              <w:ind w:left="90" w:right="464"/>
              <w:rPr>
                <w:sz w:val="18"/>
              </w:rPr>
            </w:pPr>
            <w:proofErr w:type="spellStart"/>
            <w:r>
              <w:rPr>
                <w:sz w:val="18"/>
              </w:rPr>
              <w:t>Selected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financial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indicators</w:t>
            </w:r>
            <w:proofErr w:type="spellEnd"/>
            <w:r>
              <w:rPr>
                <w:sz w:val="18"/>
              </w:rPr>
              <w:t xml:space="preserve"> as </w:t>
            </w:r>
            <w:proofErr w:type="spellStart"/>
            <w:r>
              <w:rPr>
                <w:sz w:val="18"/>
              </w:rPr>
              <w:t>from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beginning</w:t>
            </w:r>
            <w:proofErr w:type="spellEnd"/>
            <w:r>
              <w:rPr>
                <w:sz w:val="18"/>
              </w:rPr>
              <w:t xml:space="preserve"> of </w:t>
            </w:r>
            <w:proofErr w:type="spellStart"/>
            <w:r>
              <w:rPr>
                <w:sz w:val="18"/>
              </w:rPr>
              <w:t>year</w:t>
            </w:r>
            <w:proofErr w:type="spellEnd"/>
            <w:r>
              <w:rPr>
                <w:sz w:val="18"/>
              </w:rPr>
              <w:t xml:space="preserve"> to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end of 4th </w:t>
            </w:r>
            <w:proofErr w:type="spellStart"/>
            <w:r>
              <w:rPr>
                <w:sz w:val="18"/>
              </w:rPr>
              <w:t>quarter</w:t>
            </w:r>
            <w:proofErr w:type="spellEnd"/>
            <w:r>
              <w:rPr>
                <w:sz w:val="18"/>
              </w:rPr>
              <w:t xml:space="preserve"> 2022 by </w:t>
            </w:r>
            <w:proofErr w:type="spellStart"/>
            <w:r>
              <w:rPr>
                <w:sz w:val="18"/>
              </w:rPr>
              <w:t>selected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sections</w:t>
            </w:r>
            <w:proofErr w:type="spellEnd"/>
            <w:r>
              <w:rPr>
                <w:sz w:val="18"/>
              </w:rPr>
              <w:t xml:space="preserve"> and </w:t>
            </w:r>
            <w:proofErr w:type="spellStart"/>
            <w:r>
              <w:rPr>
                <w:sz w:val="18"/>
              </w:rPr>
              <w:t>special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aggregates</w:t>
            </w:r>
            <w:proofErr w:type="spellEnd"/>
            <w:r>
              <w:rPr>
                <w:sz w:val="18"/>
              </w:rPr>
              <w:t xml:space="preserve"> of </w:t>
            </w:r>
            <w:proofErr w:type="spellStart"/>
            <w:r>
              <w:rPr>
                <w:sz w:val="18"/>
              </w:rPr>
              <w:t>the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industrial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branches</w:t>
            </w:r>
            <w:proofErr w:type="spellEnd"/>
            <w:r>
              <w:rPr>
                <w:sz w:val="18"/>
              </w:rPr>
              <w:t xml:space="preserve"> of SK NACE (at </w:t>
            </w:r>
            <w:proofErr w:type="spellStart"/>
            <w:r>
              <w:rPr>
                <w:sz w:val="18"/>
              </w:rPr>
              <w:t>current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prices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081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4FFF">
        <w:trPr>
          <w:trHeight w:val="437"/>
        </w:trPr>
        <w:tc>
          <w:tcPr>
            <w:tcW w:w="53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03" w:type="dxa"/>
          </w:tcPr>
          <w:p w:rsidR="00764FFF" w:rsidRDefault="00764FFF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764FFF" w:rsidRDefault="00CF6955">
            <w:pPr>
              <w:pStyle w:val="TableParagraph"/>
              <w:ind w:left="90"/>
              <w:rPr>
                <w:b/>
                <w:sz w:val="18"/>
              </w:rPr>
            </w:pPr>
            <w:r>
              <w:rPr>
                <w:b/>
                <w:sz w:val="18"/>
              </w:rPr>
              <w:t>Trend vybraných finančných ukazovateľov v priemysle SR (v bežných cenách)</w:t>
            </w:r>
          </w:p>
        </w:tc>
        <w:tc>
          <w:tcPr>
            <w:tcW w:w="1081" w:type="dxa"/>
          </w:tcPr>
          <w:p w:rsidR="00764FFF" w:rsidRDefault="00764FFF">
            <w:pPr>
              <w:pStyle w:val="TableParagraph"/>
              <w:spacing w:before="10"/>
              <w:rPr>
                <w:rFonts w:ascii="Times New Roman"/>
                <w:sz w:val="16"/>
              </w:rPr>
            </w:pPr>
          </w:p>
          <w:p w:rsidR="00764FFF" w:rsidRDefault="00CF6955">
            <w:pPr>
              <w:pStyle w:val="TableParagraph"/>
              <w:ind w:right="1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29</w:t>
            </w:r>
          </w:p>
        </w:tc>
      </w:tr>
      <w:tr w:rsidR="00764FFF">
        <w:trPr>
          <w:trHeight w:val="497"/>
        </w:trPr>
        <w:tc>
          <w:tcPr>
            <w:tcW w:w="53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03" w:type="dxa"/>
          </w:tcPr>
          <w:p w:rsidR="00764FFF" w:rsidRDefault="00CF6955">
            <w:pPr>
              <w:pStyle w:val="TableParagraph"/>
              <w:spacing w:before="18"/>
              <w:ind w:left="90"/>
              <w:rPr>
                <w:sz w:val="18"/>
              </w:rPr>
            </w:pPr>
            <w:proofErr w:type="spellStart"/>
            <w:r>
              <w:rPr>
                <w:sz w:val="18"/>
              </w:rPr>
              <w:t>Development</w:t>
            </w:r>
            <w:proofErr w:type="spellEnd"/>
            <w:r>
              <w:rPr>
                <w:sz w:val="18"/>
              </w:rPr>
              <w:t xml:space="preserve"> of </w:t>
            </w:r>
            <w:proofErr w:type="spellStart"/>
            <w:r>
              <w:rPr>
                <w:sz w:val="18"/>
              </w:rPr>
              <w:t>selected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financial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indicators</w:t>
            </w:r>
            <w:proofErr w:type="spellEnd"/>
            <w:r>
              <w:rPr>
                <w:sz w:val="18"/>
              </w:rPr>
              <w:t xml:space="preserve"> in </w:t>
            </w:r>
            <w:proofErr w:type="spellStart"/>
            <w:r>
              <w:rPr>
                <w:sz w:val="18"/>
              </w:rPr>
              <w:t>industry</w:t>
            </w:r>
            <w:proofErr w:type="spellEnd"/>
            <w:r>
              <w:rPr>
                <w:sz w:val="18"/>
              </w:rPr>
              <w:t xml:space="preserve"> SR (at </w:t>
            </w:r>
            <w:proofErr w:type="spellStart"/>
            <w:r>
              <w:rPr>
                <w:sz w:val="18"/>
              </w:rPr>
              <w:t>current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prices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081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64FFF">
        <w:trPr>
          <w:trHeight w:val="1126"/>
        </w:trPr>
        <w:tc>
          <w:tcPr>
            <w:tcW w:w="539" w:type="dxa"/>
          </w:tcPr>
          <w:p w:rsidR="00764FFF" w:rsidRDefault="00764FFF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764FFF" w:rsidRDefault="00CF6955">
            <w:pPr>
              <w:pStyle w:val="TableParagraph"/>
              <w:ind w:left="200"/>
              <w:rPr>
                <w:rFonts w:ascii="Times New Roman"/>
                <w:b/>
                <w:sz w:val="23"/>
              </w:rPr>
            </w:pPr>
            <w:r>
              <w:rPr>
                <w:rFonts w:ascii="Times New Roman"/>
                <w:b/>
                <w:sz w:val="23"/>
              </w:rPr>
              <w:t>II.</w:t>
            </w:r>
          </w:p>
        </w:tc>
        <w:tc>
          <w:tcPr>
            <w:tcW w:w="8603" w:type="dxa"/>
          </w:tcPr>
          <w:p w:rsidR="00764FFF" w:rsidRDefault="00CF6955">
            <w:pPr>
              <w:pStyle w:val="TableParagraph"/>
              <w:spacing w:before="231" w:line="290" w:lineRule="atLeast"/>
              <w:ind w:left="97"/>
              <w:rPr>
                <w:b/>
                <w:sz w:val="23"/>
              </w:rPr>
            </w:pPr>
            <w:r>
              <w:rPr>
                <w:b/>
                <w:sz w:val="23"/>
              </w:rPr>
              <w:t>Výsledky spracovania mesačného podnikového výkazu priemyselnej organizácie Priem 1-12 o výrobe vybraných výrobkov (podľa zoznamu PRODSLOV)</w:t>
            </w:r>
          </w:p>
        </w:tc>
        <w:tc>
          <w:tcPr>
            <w:tcW w:w="1081" w:type="dxa"/>
          </w:tcPr>
          <w:p w:rsidR="00764FFF" w:rsidRDefault="00764FFF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:rsidR="00764FFF" w:rsidRDefault="00CF6955">
            <w:pPr>
              <w:pStyle w:val="TableParagraph"/>
              <w:ind w:right="19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31</w:t>
            </w:r>
          </w:p>
        </w:tc>
      </w:tr>
      <w:tr w:rsidR="00764FFF">
        <w:trPr>
          <w:trHeight w:val="846"/>
        </w:trPr>
        <w:tc>
          <w:tcPr>
            <w:tcW w:w="539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03" w:type="dxa"/>
          </w:tcPr>
          <w:p w:rsidR="00764FFF" w:rsidRDefault="00CF6955">
            <w:pPr>
              <w:pStyle w:val="TableParagraph"/>
              <w:spacing w:before="3"/>
              <w:ind w:left="97"/>
              <w:rPr>
                <w:sz w:val="23"/>
              </w:rPr>
            </w:pPr>
            <w:proofErr w:type="spellStart"/>
            <w:r>
              <w:rPr>
                <w:sz w:val="23"/>
              </w:rPr>
              <w:t>Results</w:t>
            </w:r>
            <w:proofErr w:type="spellEnd"/>
            <w:r>
              <w:rPr>
                <w:sz w:val="23"/>
              </w:rPr>
              <w:t xml:space="preserve"> of </w:t>
            </w:r>
            <w:proofErr w:type="spellStart"/>
            <w:r>
              <w:rPr>
                <w:sz w:val="23"/>
              </w:rPr>
              <w:t>processing</w:t>
            </w:r>
            <w:proofErr w:type="spellEnd"/>
            <w:r>
              <w:rPr>
                <w:sz w:val="23"/>
              </w:rPr>
              <w:t xml:space="preserve"> of </w:t>
            </w:r>
            <w:proofErr w:type="spellStart"/>
            <w:r>
              <w:rPr>
                <w:sz w:val="23"/>
              </w:rPr>
              <w:t>monthly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enterprise</w:t>
            </w:r>
            <w:proofErr w:type="spellEnd"/>
            <w:r>
              <w:rPr>
                <w:sz w:val="23"/>
              </w:rPr>
              <w:t xml:space="preserve"> report of </w:t>
            </w:r>
            <w:proofErr w:type="spellStart"/>
            <w:r>
              <w:rPr>
                <w:sz w:val="23"/>
              </w:rPr>
              <w:t>industrial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organisation</w:t>
            </w:r>
            <w:proofErr w:type="spellEnd"/>
          </w:p>
          <w:p w:rsidR="00764FFF" w:rsidRDefault="00CF6955">
            <w:pPr>
              <w:pStyle w:val="TableParagraph"/>
              <w:spacing w:before="6" w:line="280" w:lineRule="atLeast"/>
              <w:ind w:left="97" w:right="464"/>
              <w:rPr>
                <w:sz w:val="23"/>
              </w:rPr>
            </w:pPr>
            <w:r>
              <w:rPr>
                <w:sz w:val="23"/>
              </w:rPr>
              <w:t xml:space="preserve">Priem 1-12 on </w:t>
            </w:r>
            <w:proofErr w:type="spellStart"/>
            <w:r>
              <w:rPr>
                <w:sz w:val="23"/>
              </w:rPr>
              <w:t>production</w:t>
            </w:r>
            <w:proofErr w:type="spellEnd"/>
            <w:r>
              <w:rPr>
                <w:sz w:val="23"/>
              </w:rPr>
              <w:t xml:space="preserve"> of </w:t>
            </w:r>
            <w:proofErr w:type="spellStart"/>
            <w:r>
              <w:rPr>
                <w:sz w:val="23"/>
              </w:rPr>
              <w:t>selec</w:t>
            </w:r>
            <w:r>
              <w:rPr>
                <w:sz w:val="23"/>
              </w:rPr>
              <w:t>ted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products</w:t>
            </w:r>
            <w:proofErr w:type="spellEnd"/>
            <w:r>
              <w:rPr>
                <w:sz w:val="23"/>
              </w:rPr>
              <w:t xml:space="preserve"> (</w:t>
            </w:r>
            <w:proofErr w:type="spellStart"/>
            <w:r>
              <w:rPr>
                <w:sz w:val="23"/>
              </w:rPr>
              <w:t>according</w:t>
            </w:r>
            <w:proofErr w:type="spellEnd"/>
            <w:r>
              <w:rPr>
                <w:sz w:val="23"/>
              </w:rPr>
              <w:t xml:space="preserve"> to </w:t>
            </w:r>
            <w:proofErr w:type="spellStart"/>
            <w:r>
              <w:rPr>
                <w:sz w:val="23"/>
              </w:rPr>
              <w:t>the</w:t>
            </w:r>
            <w:proofErr w:type="spellEnd"/>
            <w:r>
              <w:rPr>
                <w:sz w:val="23"/>
              </w:rPr>
              <w:t xml:space="preserve"> list of PRODSLOV)</w:t>
            </w:r>
          </w:p>
        </w:tc>
        <w:tc>
          <w:tcPr>
            <w:tcW w:w="1081" w:type="dxa"/>
          </w:tcPr>
          <w:p w:rsidR="00764FFF" w:rsidRDefault="00764F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F6955" w:rsidRDefault="00CF6955"/>
    <w:sectPr w:rsidR="00CF6955">
      <w:pgSz w:w="11910" w:h="16840"/>
      <w:pgMar w:top="900" w:right="460" w:bottom="280" w:left="7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64FFF"/>
    <w:rsid w:val="00764FFF"/>
    <w:rsid w:val="00770507"/>
    <w:rsid w:val="00877435"/>
    <w:rsid w:val="00CF6955"/>
    <w:rsid w:val="00E03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2EA11"/>
  <w15:docId w15:val="{F17D1CC8-D7A2-4CC2-B9F0-62E163455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Arial"/>
      <w:lang w:val="sk-SK"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784</Words>
  <Characters>4471</Characters>
  <Application>Microsoft Office Word</Application>
  <DocSecurity>0</DocSecurity>
  <Lines>37</Lines>
  <Paragraphs>10</Paragraphs>
  <ScaleCrop>false</ScaleCrop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Schvarc Igor</dc:creator>
  <cp:lastModifiedBy>Maňáková Oľga</cp:lastModifiedBy>
  <cp:revision>4</cp:revision>
  <dcterms:created xsi:type="dcterms:W3CDTF">2023-12-04T09:39:00Z</dcterms:created>
  <dcterms:modified xsi:type="dcterms:W3CDTF">2024-03-01T13:11:00Z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Acrobat PDFMaker 17 pre Excel</vt:lpwstr>
  </property>
  <property fmtid="{D5CDD505-2E9C-101B-9397-08002B2CF9AE}" pid="4" name="LastSaved">
    <vt:filetime>2023-12-04T00:00:00Z</vt:filetime>
  </property>
</Properties>
</file>